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4</w:t>
      </w:r>
    </w:p>
    <w:p>
      <w:pPr>
        <w:spacing w:line="520" w:lineRule="exact"/>
        <w:ind w:firstLine="420"/>
        <w:rPr>
          <w:rFonts w:hint="eastAsia" w:ascii="方正小标宋简体" w:eastAsia="方正小标宋简体"/>
          <w:sz w:val="44"/>
          <w:szCs w:val="44"/>
        </w:rPr>
      </w:pPr>
    </w:p>
    <w:p>
      <w:pPr>
        <w:spacing w:line="520" w:lineRule="exact"/>
        <w:jc w:val="center"/>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lang w:eastAsia="zh-CN"/>
        </w:rPr>
        <w:t>河池市产品质量检验所</w:t>
      </w:r>
      <w:r>
        <w:rPr>
          <w:rFonts w:hint="eastAsia" w:ascii="方正小标宋简体" w:hAnsi="宋体" w:eastAsia="方正小标宋简体" w:cs="宋体"/>
          <w:sz w:val="44"/>
          <w:szCs w:val="44"/>
        </w:rPr>
        <w:t>转移支付</w:t>
      </w:r>
    </w:p>
    <w:p>
      <w:pPr>
        <w:spacing w:line="520" w:lineRule="exact"/>
        <w:jc w:val="center"/>
        <w:rPr>
          <w:rFonts w:hint="eastAsia" w:ascii="方正小标宋简体" w:hAnsi="宋体" w:eastAsia="方正小标宋简体" w:cs="宋体"/>
          <w:sz w:val="44"/>
          <w:szCs w:val="44"/>
        </w:rPr>
      </w:pPr>
      <w:r>
        <w:rPr>
          <w:rFonts w:hint="eastAsia" w:ascii="方正小标宋简体" w:hAnsi="Arial" w:eastAsia="方正小标宋简体" w:cs="Arial"/>
          <w:sz w:val="44"/>
          <w:szCs w:val="44"/>
        </w:rPr>
        <w:t>202</w:t>
      </w:r>
      <w:r>
        <w:rPr>
          <w:rFonts w:hint="eastAsia" w:ascii="方正小标宋简体" w:hAnsi="Arial" w:eastAsia="方正小标宋简体" w:cs="Arial"/>
          <w:sz w:val="44"/>
          <w:szCs w:val="44"/>
          <w:lang w:val="en-US" w:eastAsia="zh-CN"/>
        </w:rPr>
        <w:t>2</w:t>
      </w:r>
      <w:r>
        <w:rPr>
          <w:rFonts w:hint="eastAsia" w:ascii="方正小标宋简体" w:hAnsi="宋体" w:eastAsia="方正小标宋简体" w:cs="宋体"/>
          <w:sz w:val="44"/>
          <w:szCs w:val="44"/>
        </w:rPr>
        <w:t>年度绩效自评报告</w:t>
      </w:r>
    </w:p>
    <w:p>
      <w:pPr>
        <w:spacing w:line="520" w:lineRule="exact"/>
        <w:ind w:firstLine="640" w:firstLineChars="200"/>
        <w:rPr>
          <w:rFonts w:hint="eastAsia" w:ascii="黑体" w:hAnsi="黑体" w:eastAsia="黑体" w:cs="黑体"/>
          <w:bCs/>
          <w:sz w:val="32"/>
          <w:szCs w:val="32"/>
        </w:rPr>
      </w:pPr>
    </w:p>
    <w:p>
      <w:pPr>
        <w:spacing w:line="52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一、绩效目标分解下达情况</w:t>
      </w:r>
    </w:p>
    <w:p>
      <w:pPr>
        <w:spacing w:line="520" w:lineRule="exact"/>
        <w:ind w:firstLine="640" w:firstLineChars="200"/>
        <w:rPr>
          <w:rFonts w:hint="eastAsia" w:ascii="仿宋_GB2312" w:eastAsia="仿宋_GB2312"/>
          <w:sz w:val="32"/>
          <w:szCs w:val="32"/>
        </w:rPr>
      </w:pPr>
      <w:r>
        <w:rPr>
          <w:rFonts w:hint="default" w:ascii="Times New Roman" w:hAnsi="Times New Roman" w:eastAsia="仿宋_GB2312" w:cs="Times New Roman"/>
          <w:color w:val="000000"/>
          <w:kern w:val="1"/>
          <w:sz w:val="32"/>
          <w:szCs w:val="32"/>
        </w:rPr>
        <w:t>202</w:t>
      </w:r>
      <w:r>
        <w:rPr>
          <w:rFonts w:hint="eastAsia" w:ascii="Times New Roman" w:hAnsi="Times New Roman" w:eastAsia="仿宋_GB2312" w:cs="Times New Roman"/>
          <w:color w:val="000000"/>
          <w:kern w:val="1"/>
          <w:sz w:val="32"/>
          <w:szCs w:val="32"/>
          <w:lang w:val="en-US" w:eastAsia="zh-CN"/>
        </w:rPr>
        <w:t>2</w:t>
      </w:r>
      <w:r>
        <w:rPr>
          <w:rFonts w:hint="default" w:ascii="Times New Roman" w:hAnsi="Times New Roman" w:eastAsia="仿宋_GB2312" w:cs="Times New Roman"/>
          <w:color w:val="000000"/>
          <w:kern w:val="1"/>
          <w:sz w:val="32"/>
          <w:szCs w:val="32"/>
        </w:rPr>
        <w:t>年</w:t>
      </w:r>
      <w:r>
        <w:rPr>
          <w:rFonts w:hint="eastAsia" w:ascii="Times New Roman" w:hAnsi="Times New Roman" w:eastAsia="仿宋_GB2312" w:cs="Times New Roman"/>
          <w:color w:val="000000"/>
          <w:kern w:val="1"/>
          <w:sz w:val="32"/>
          <w:szCs w:val="32"/>
          <w:lang w:val="en-US" w:eastAsia="zh-CN"/>
        </w:rPr>
        <w:t>河池市市场监管系统</w:t>
      </w:r>
      <w:r>
        <w:rPr>
          <w:rFonts w:hint="default" w:ascii="Times New Roman" w:hAnsi="Times New Roman" w:eastAsia="仿宋_GB2312" w:cs="Times New Roman"/>
          <w:color w:val="000000"/>
          <w:kern w:val="1"/>
          <w:sz w:val="32"/>
          <w:szCs w:val="32"/>
        </w:rPr>
        <w:t>食品安全抽检任务由</w:t>
      </w:r>
      <w:r>
        <w:rPr>
          <w:rFonts w:hint="eastAsia" w:ascii="仿宋_GB2312" w:eastAsia="仿宋_GB2312"/>
          <w:bCs/>
          <w:sz w:val="32"/>
          <w:szCs w:val="32"/>
        </w:rPr>
        <w:t>河池市产品质量检验所</w:t>
      </w:r>
      <w:r>
        <w:rPr>
          <w:rFonts w:hint="default" w:ascii="Times New Roman" w:hAnsi="Times New Roman" w:eastAsia="仿宋_GB2312" w:cs="Times New Roman"/>
          <w:color w:val="000000"/>
          <w:kern w:val="1"/>
          <w:sz w:val="32"/>
          <w:szCs w:val="32"/>
        </w:rPr>
        <w:t>承担</w:t>
      </w:r>
      <w:r>
        <w:rPr>
          <w:rFonts w:hint="eastAsia" w:ascii="仿宋_GB2312" w:eastAsia="仿宋_GB2312"/>
          <w:sz w:val="32"/>
          <w:szCs w:val="32"/>
          <w:lang w:val="en-US" w:eastAsia="zh-CN"/>
        </w:rPr>
        <w:t>1843</w:t>
      </w:r>
      <w:r>
        <w:rPr>
          <w:rFonts w:hint="default" w:ascii="Times New Roman" w:hAnsi="Times New Roman" w:eastAsia="仿宋_GB2312" w:cs="Times New Roman"/>
          <w:color w:val="000000"/>
          <w:kern w:val="1"/>
          <w:sz w:val="32"/>
          <w:szCs w:val="32"/>
        </w:rPr>
        <w:t>批次抽检任务，</w:t>
      </w:r>
      <w:r>
        <w:rPr>
          <w:rFonts w:hint="eastAsia" w:ascii="Times New Roman" w:hAnsi="Times New Roman" w:eastAsia="仿宋_GB2312" w:cs="Times New Roman"/>
          <w:color w:val="000000"/>
          <w:kern w:val="1"/>
          <w:sz w:val="32"/>
          <w:szCs w:val="32"/>
          <w:lang w:val="en-US" w:eastAsia="zh-CN"/>
        </w:rPr>
        <w:t>包含</w:t>
      </w:r>
      <w:r>
        <w:rPr>
          <w:rFonts w:hint="eastAsia" w:ascii="仿宋_GB2312" w:eastAsia="仿宋_GB2312"/>
          <w:sz w:val="32"/>
          <w:szCs w:val="32"/>
        </w:rPr>
        <w:t>自治区转移普通食品抽检</w:t>
      </w:r>
      <w:r>
        <w:rPr>
          <w:rFonts w:hint="eastAsia" w:ascii="仿宋_GB2312" w:eastAsia="仿宋_GB2312"/>
          <w:sz w:val="32"/>
          <w:szCs w:val="32"/>
          <w:lang w:val="en-US" w:eastAsia="zh-CN"/>
        </w:rPr>
        <w:t>763</w:t>
      </w:r>
      <w:r>
        <w:rPr>
          <w:rFonts w:hint="eastAsia" w:ascii="仿宋_GB2312" w:eastAsia="仿宋_GB2312"/>
          <w:sz w:val="32"/>
          <w:szCs w:val="32"/>
        </w:rPr>
        <w:t>批次</w:t>
      </w:r>
      <w:r>
        <w:rPr>
          <w:rFonts w:hint="eastAsia" w:ascii="仿宋_GB2312" w:eastAsia="仿宋_GB2312"/>
          <w:sz w:val="32"/>
          <w:szCs w:val="32"/>
          <w:lang w:eastAsia="zh-CN"/>
        </w:rPr>
        <w:t>、</w:t>
      </w:r>
      <w:r>
        <w:rPr>
          <w:rFonts w:hint="eastAsia" w:ascii="仿宋_GB2312" w:eastAsia="仿宋_GB2312"/>
          <w:bCs/>
          <w:sz w:val="32"/>
          <w:szCs w:val="32"/>
          <w:lang w:val="en-US" w:eastAsia="zh-CN"/>
        </w:rPr>
        <w:t>市本级自筹资金</w:t>
      </w:r>
      <w:r>
        <w:rPr>
          <w:rFonts w:hint="eastAsia" w:ascii="仿宋_GB2312" w:eastAsia="仿宋_GB2312"/>
          <w:sz w:val="32"/>
          <w:szCs w:val="32"/>
          <w:lang w:val="en-US" w:eastAsia="zh-CN"/>
        </w:rPr>
        <w:t>餐饮食品</w:t>
      </w:r>
      <w:r>
        <w:rPr>
          <w:rFonts w:hint="eastAsia" w:ascii="仿宋_GB2312" w:eastAsia="仿宋_GB2312"/>
          <w:sz w:val="32"/>
          <w:szCs w:val="32"/>
        </w:rPr>
        <w:t>专项</w:t>
      </w:r>
      <w:r>
        <w:rPr>
          <w:rFonts w:hint="eastAsia" w:ascii="仿宋_GB2312" w:eastAsia="仿宋_GB2312"/>
          <w:sz w:val="32"/>
          <w:szCs w:val="32"/>
          <w:lang w:val="en-US" w:eastAsia="zh-CN"/>
        </w:rPr>
        <w:t>1000批次</w:t>
      </w:r>
      <w:r>
        <w:rPr>
          <w:rFonts w:hint="eastAsia" w:ascii="仿宋_GB2312" w:eastAsia="仿宋_GB2312"/>
          <w:bCs/>
          <w:sz w:val="32"/>
          <w:szCs w:val="32"/>
          <w:lang w:eastAsia="zh-CN"/>
        </w:rPr>
        <w:t>、</w:t>
      </w:r>
      <w:r>
        <w:rPr>
          <w:rFonts w:hint="eastAsia" w:ascii="仿宋_GB2312" w:eastAsia="仿宋_GB2312"/>
          <w:bCs/>
          <w:sz w:val="32"/>
          <w:szCs w:val="32"/>
          <w:lang w:val="en-US" w:eastAsia="zh-CN"/>
        </w:rPr>
        <w:t>市本级自筹资金春节食品</w:t>
      </w:r>
      <w:r>
        <w:rPr>
          <w:rFonts w:hint="eastAsia" w:ascii="仿宋_GB2312" w:eastAsia="仿宋_GB2312"/>
          <w:sz w:val="32"/>
          <w:szCs w:val="32"/>
        </w:rPr>
        <w:t>“你点我检”专项</w:t>
      </w:r>
      <w:r>
        <w:rPr>
          <w:rFonts w:hint="eastAsia" w:ascii="仿宋_GB2312" w:eastAsia="仿宋_GB2312"/>
          <w:sz w:val="32"/>
          <w:szCs w:val="32"/>
          <w:lang w:val="en-US" w:eastAsia="zh-CN"/>
        </w:rPr>
        <w:t>80批次</w:t>
      </w:r>
      <w:r>
        <w:rPr>
          <w:rFonts w:hint="eastAsia" w:ascii="仿宋_GB2312" w:eastAsia="仿宋_GB2312"/>
          <w:sz w:val="32"/>
          <w:szCs w:val="32"/>
        </w:rPr>
        <w:t>。</w:t>
      </w:r>
    </w:p>
    <w:p>
      <w:pPr>
        <w:spacing w:line="52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二、绩效目标完成情况分析</w:t>
      </w:r>
    </w:p>
    <w:p>
      <w:pPr>
        <w:widowControl w:val="0"/>
        <w:ind w:left="0" w:right="0" w:firstLine="36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（一）资金投入情况分析。</w:t>
      </w:r>
    </w:p>
    <w:p>
      <w:pPr>
        <w:widowControl w:val="0"/>
        <w:ind w:right="0"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2022年度</w:t>
      </w:r>
      <w:r>
        <w:rPr>
          <w:rFonts w:hint="eastAsia" w:ascii="仿宋_GB2312" w:hAnsi="仿宋_GB2312" w:eastAsia="仿宋_GB2312" w:cs="仿宋_GB2312"/>
          <w:bCs/>
          <w:sz w:val="32"/>
          <w:szCs w:val="32"/>
        </w:rPr>
        <w:t>项目计划安排资金</w:t>
      </w:r>
      <w:r>
        <w:rPr>
          <w:rFonts w:hint="eastAsia" w:ascii="仿宋_GB2312" w:hAnsi="仿宋_GB2312" w:eastAsia="仿宋_GB2312" w:cs="仿宋_GB2312"/>
          <w:bCs/>
          <w:sz w:val="32"/>
          <w:szCs w:val="32"/>
          <w:lang w:val="en-US" w:eastAsia="zh-CN"/>
        </w:rPr>
        <w:t>119.795万</w:t>
      </w:r>
      <w:r>
        <w:rPr>
          <w:rFonts w:hint="eastAsia" w:ascii="仿宋_GB2312" w:hAnsi="仿宋_GB2312" w:eastAsia="仿宋_GB2312" w:cs="仿宋_GB2312"/>
          <w:bCs/>
          <w:sz w:val="32"/>
          <w:szCs w:val="32"/>
        </w:rPr>
        <w:t>元，实际到位资金为</w:t>
      </w:r>
      <w:r>
        <w:rPr>
          <w:rFonts w:hint="eastAsia" w:ascii="仿宋_GB2312" w:hAnsi="仿宋_GB2312" w:eastAsia="仿宋_GB2312" w:cs="仿宋_GB2312"/>
          <w:bCs/>
          <w:sz w:val="32"/>
          <w:szCs w:val="32"/>
          <w:lang w:val="en-US" w:eastAsia="zh-CN"/>
        </w:rPr>
        <w:t>119.795</w:t>
      </w:r>
      <w:r>
        <w:rPr>
          <w:rFonts w:hint="eastAsia" w:ascii="仿宋_GB2312" w:hAnsi="仿宋_GB2312" w:eastAsia="仿宋_GB2312" w:cs="仿宋_GB2312"/>
          <w:bCs/>
          <w:sz w:val="32"/>
          <w:szCs w:val="32"/>
        </w:rPr>
        <w:t>万元</w:t>
      </w:r>
      <w:r>
        <w:rPr>
          <w:rFonts w:hint="eastAsia" w:ascii="仿宋_GB2312" w:hAnsi="仿宋_GB2312" w:eastAsia="仿宋_GB2312" w:cs="仿宋_GB2312"/>
          <w:bCs/>
          <w:sz w:val="32"/>
          <w:szCs w:val="32"/>
          <w:lang w:eastAsia="zh-CN"/>
        </w:rPr>
        <w:t>，项目资金全部是</w:t>
      </w:r>
      <w:r>
        <w:rPr>
          <w:rFonts w:hint="eastAsia" w:ascii="仿宋_GB2312" w:hAnsi="仿宋_GB2312" w:eastAsia="仿宋_GB2312" w:cs="仿宋_GB2312"/>
          <w:bCs/>
          <w:sz w:val="32"/>
          <w:szCs w:val="32"/>
        </w:rPr>
        <w:t>抽检经费，抽检经费包含样品费</w:t>
      </w:r>
      <w:r>
        <w:rPr>
          <w:rFonts w:hint="eastAsia" w:ascii="仿宋_GB2312" w:hAnsi="仿宋_GB2312" w:eastAsia="仿宋_GB2312" w:cs="仿宋_GB2312"/>
          <w:bCs/>
          <w:sz w:val="32"/>
          <w:szCs w:val="32"/>
          <w:lang w:eastAsia="zh-CN"/>
        </w:rPr>
        <w:t>，平均每批次</w:t>
      </w:r>
      <w:r>
        <w:rPr>
          <w:rFonts w:hint="eastAsia" w:ascii="仿宋_GB2312" w:hAnsi="仿宋_GB2312" w:eastAsia="仿宋_GB2312" w:cs="仿宋_GB2312"/>
          <w:bCs/>
          <w:sz w:val="32"/>
          <w:szCs w:val="32"/>
          <w:lang w:val="en-US" w:eastAsia="zh-CN"/>
        </w:rPr>
        <w:t>50元，共计9.215万元</w:t>
      </w:r>
      <w:r>
        <w:rPr>
          <w:rFonts w:hint="eastAsia" w:ascii="仿宋_GB2312" w:hAnsi="仿宋_GB2312" w:eastAsia="仿宋_GB2312" w:cs="仿宋_GB2312"/>
          <w:bCs/>
          <w:sz w:val="32"/>
          <w:szCs w:val="32"/>
        </w:rPr>
        <w:t>。</w:t>
      </w:r>
    </w:p>
    <w:p>
      <w:pPr>
        <w:numPr>
          <w:ilvl w:val="0"/>
          <w:numId w:val="1"/>
        </w:numPr>
        <w:spacing w:line="520" w:lineRule="exact"/>
        <w:ind w:left="-10" w:leftChars="0" w:firstLine="640" w:firstLineChars="0"/>
        <w:outlineLvl w:val="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总体绩效目标完成情况分析。</w:t>
      </w:r>
    </w:p>
    <w:p>
      <w:pPr>
        <w:numPr>
          <w:ilvl w:val="0"/>
          <w:numId w:val="0"/>
        </w:numPr>
        <w:spacing w:line="520" w:lineRule="exact"/>
        <w:ind w:left="0" w:leftChars="0" w:firstLine="640" w:firstLineChars="200"/>
        <w:outlineLvl w:val="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年初计划完成1843个批次样品抽检</w:t>
      </w:r>
      <w:r>
        <w:rPr>
          <w:rFonts w:hint="eastAsia" w:ascii="仿宋_GB2312" w:hAnsi="仿宋_GB2312" w:eastAsia="仿宋_GB2312" w:cs="仿宋_GB2312"/>
          <w:bCs/>
          <w:sz w:val="32"/>
          <w:szCs w:val="32"/>
          <w:lang w:eastAsia="zh-CN"/>
        </w:rPr>
        <w:t>，全年实际完成1563个批次样品抽检，完成</w:t>
      </w:r>
      <w:r>
        <w:rPr>
          <w:rFonts w:hint="eastAsia" w:ascii="仿宋_GB2312" w:hAnsi="仿宋_GB2312" w:eastAsia="仿宋_GB2312" w:cs="仿宋_GB2312"/>
          <w:bCs/>
          <w:sz w:val="32"/>
          <w:szCs w:val="32"/>
        </w:rPr>
        <w:t>总体绩效目标</w:t>
      </w:r>
      <w:r>
        <w:rPr>
          <w:rFonts w:hint="eastAsia" w:ascii="仿宋_GB2312" w:hAnsi="仿宋_GB2312" w:eastAsia="仿宋_GB2312" w:cs="仿宋_GB2312"/>
          <w:bCs/>
          <w:sz w:val="32"/>
          <w:szCs w:val="32"/>
          <w:lang w:eastAsia="zh-CN"/>
        </w:rPr>
        <w:t>的</w:t>
      </w:r>
      <w:r>
        <w:rPr>
          <w:rFonts w:hint="eastAsia" w:ascii="仿宋_GB2312" w:hAnsi="仿宋_GB2312" w:eastAsia="仿宋_GB2312" w:cs="仿宋_GB2312"/>
          <w:bCs/>
          <w:sz w:val="32"/>
          <w:szCs w:val="32"/>
          <w:lang w:val="en-US" w:eastAsia="zh-CN"/>
        </w:rPr>
        <w:t>85%。</w:t>
      </w:r>
    </w:p>
    <w:p>
      <w:pPr>
        <w:numPr>
          <w:ilvl w:val="0"/>
          <w:numId w:val="1"/>
        </w:numPr>
        <w:spacing w:line="520" w:lineRule="exact"/>
        <w:ind w:left="-10" w:leftChars="0" w:firstLine="640" w:firstLineChars="0"/>
        <w:outlineLvl w:val="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绩效指标完成情况分析。</w:t>
      </w:r>
    </w:p>
    <w:p>
      <w:pPr>
        <w:numPr>
          <w:ilvl w:val="0"/>
          <w:numId w:val="0"/>
        </w:numPr>
        <w:spacing w:line="520" w:lineRule="exact"/>
        <w:ind w:left="319" w:leftChars="152" w:firstLine="627" w:firstLineChars="196"/>
        <w:outlineLvl w:val="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eastAsia="zh-CN"/>
        </w:rPr>
        <w:t>数量指标：</w:t>
      </w:r>
      <w:r>
        <w:rPr>
          <w:rFonts w:hint="eastAsia" w:ascii="仿宋_GB2312" w:hAnsi="仿宋_GB2312" w:eastAsia="仿宋_GB2312" w:cs="仿宋_GB2312"/>
          <w:bCs/>
          <w:sz w:val="32"/>
          <w:szCs w:val="32"/>
        </w:rPr>
        <w:t>年初计划完成1843个批次样品抽检</w:t>
      </w:r>
      <w:r>
        <w:rPr>
          <w:rFonts w:hint="eastAsia" w:ascii="仿宋_GB2312" w:hAnsi="仿宋_GB2312" w:eastAsia="仿宋_GB2312" w:cs="仿宋_GB2312"/>
          <w:bCs/>
          <w:sz w:val="32"/>
          <w:szCs w:val="32"/>
          <w:lang w:eastAsia="zh-CN"/>
        </w:rPr>
        <w:t>，全年实际完成1563个批次样品抽检，完成</w:t>
      </w:r>
      <w:r>
        <w:rPr>
          <w:rFonts w:hint="eastAsia" w:ascii="仿宋_GB2312" w:hAnsi="仿宋_GB2312" w:eastAsia="仿宋_GB2312" w:cs="仿宋_GB2312"/>
          <w:bCs/>
          <w:sz w:val="32"/>
          <w:szCs w:val="32"/>
        </w:rPr>
        <w:t>总体绩效目标</w:t>
      </w:r>
      <w:r>
        <w:rPr>
          <w:rFonts w:hint="eastAsia" w:ascii="仿宋_GB2312" w:hAnsi="仿宋_GB2312" w:eastAsia="仿宋_GB2312" w:cs="仿宋_GB2312"/>
          <w:bCs/>
          <w:sz w:val="32"/>
          <w:szCs w:val="32"/>
          <w:lang w:eastAsia="zh-CN"/>
        </w:rPr>
        <w:t>的</w:t>
      </w:r>
      <w:r>
        <w:rPr>
          <w:rFonts w:hint="eastAsia" w:ascii="仿宋_GB2312" w:hAnsi="仿宋_GB2312" w:eastAsia="仿宋_GB2312" w:cs="仿宋_GB2312"/>
          <w:bCs/>
          <w:sz w:val="32"/>
          <w:szCs w:val="32"/>
          <w:lang w:val="en-US" w:eastAsia="zh-CN"/>
        </w:rPr>
        <w:t>85%，未达标。</w:t>
      </w:r>
    </w:p>
    <w:p>
      <w:pPr>
        <w:numPr>
          <w:ilvl w:val="0"/>
          <w:numId w:val="0"/>
        </w:numPr>
        <w:spacing w:line="520" w:lineRule="exact"/>
        <w:ind w:left="319" w:leftChars="152" w:firstLine="627" w:firstLineChars="196"/>
        <w:outlineLvl w:val="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质量指标：指标1、检验质量达到我所的质量目标，异议成立率≤2‰，达标。指标2、报告及时率达到我所的质量目标≥95%，达标。</w:t>
      </w:r>
    </w:p>
    <w:p>
      <w:pPr>
        <w:numPr>
          <w:ilvl w:val="0"/>
          <w:numId w:val="0"/>
        </w:numPr>
        <w:spacing w:line="520" w:lineRule="exact"/>
        <w:ind w:left="319" w:leftChars="152" w:firstLine="627" w:firstLineChars="196"/>
        <w:outlineLvl w:val="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时效指标：2022年1-12月，根据市局文件实际时效：2022年1-2023年3月，未达标。</w:t>
      </w:r>
    </w:p>
    <w:p>
      <w:pPr>
        <w:numPr>
          <w:ilvl w:val="0"/>
          <w:numId w:val="0"/>
        </w:numPr>
        <w:spacing w:line="520" w:lineRule="exact"/>
        <w:ind w:left="319" w:leftChars="152" w:firstLine="627" w:firstLineChars="196"/>
        <w:outlineLvl w:val="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成本指标：指标1、委托业务费≤50万元，全年完成值40.54万元，达标。指标2：专用材料费33.795万元，全年完成值46.74万元，未达标。指标3：其他费用36万元，全年完成值32.52万元，达标。</w:t>
      </w:r>
    </w:p>
    <w:p>
      <w:pPr>
        <w:numPr>
          <w:ilvl w:val="0"/>
          <w:numId w:val="0"/>
        </w:numPr>
        <w:spacing w:line="520" w:lineRule="exact"/>
        <w:ind w:left="319" w:leftChars="152" w:firstLine="627" w:firstLineChars="196"/>
        <w:outlineLvl w:val="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社会效益指标：为河池市市场监督管理局对本市食品安全监督抽检提供技术支持达到100%，达标。</w:t>
      </w:r>
    </w:p>
    <w:p>
      <w:pPr>
        <w:numPr>
          <w:ilvl w:val="0"/>
          <w:numId w:val="0"/>
        </w:numPr>
        <w:spacing w:line="520" w:lineRule="exact"/>
        <w:ind w:left="319" w:leftChars="152" w:firstLine="627" w:firstLineChars="196"/>
        <w:outlineLvl w:val="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服务对象满意度指标：服务对象满意度≥98%，达标。</w:t>
      </w:r>
    </w:p>
    <w:p>
      <w:pPr>
        <w:numPr>
          <w:ilvl w:val="0"/>
          <w:numId w:val="0"/>
        </w:numPr>
        <w:spacing w:line="520" w:lineRule="exact"/>
        <w:ind w:left="319" w:leftChars="152" w:firstLine="627" w:firstLineChars="196"/>
        <w:outlineLvl w:val="0"/>
        <w:rPr>
          <w:rFonts w:hint="eastAsia" w:ascii="楷体_GB2312" w:hAnsi="楷体_GB2312" w:eastAsia="楷体_GB2312" w:cs="楷体_GB2312"/>
          <w:bCs/>
          <w:sz w:val="32"/>
          <w:szCs w:val="32"/>
          <w:lang w:val="en-US" w:eastAsia="zh-CN"/>
        </w:rPr>
      </w:pPr>
    </w:p>
    <w:p>
      <w:pPr>
        <w:spacing w:line="520" w:lineRule="exact"/>
        <w:ind w:firstLine="640" w:firstLineChars="200"/>
        <w:rPr>
          <w:rFonts w:hint="eastAsia" w:ascii="黑体" w:hAnsi="黑体" w:eastAsia="黑体"/>
          <w:sz w:val="32"/>
          <w:szCs w:val="32"/>
        </w:rPr>
      </w:pPr>
      <w:r>
        <w:rPr>
          <w:rFonts w:hint="eastAsia" w:ascii="黑体" w:hAnsi="黑体" w:eastAsia="黑体" w:cs="黑体"/>
          <w:bCs/>
          <w:sz w:val="32"/>
          <w:szCs w:val="32"/>
        </w:rPr>
        <w:t>三、偏离绩效目标的原因和下一步改进措施</w:t>
      </w:r>
    </w:p>
    <w:p>
      <w:pPr>
        <w:spacing w:line="520" w:lineRule="exact"/>
        <w:ind w:firstLine="640" w:firstLineChars="200"/>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rPr>
        <w:t>成本指标</w:t>
      </w:r>
      <w:r>
        <w:rPr>
          <w:rFonts w:hint="eastAsia" w:ascii="仿宋_GB2312" w:hAnsi="仿宋_GB2312" w:eastAsia="仿宋_GB2312" w:cs="仿宋_GB2312"/>
          <w:bCs/>
          <w:sz w:val="32"/>
          <w:szCs w:val="32"/>
          <w:lang w:val="en-US" w:eastAsia="zh-CN"/>
        </w:rPr>
        <w:t>中样品抽检数量指标未达标及时效指标未达标。原因是</w:t>
      </w:r>
      <w:r>
        <w:rPr>
          <w:rFonts w:hint="eastAsia" w:ascii="仿宋_GB2312" w:hAnsi="仿宋_GB2312" w:eastAsia="仿宋_GB2312" w:cs="仿宋_GB2312"/>
          <w:sz w:val="32"/>
          <w:szCs w:val="32"/>
        </w:rPr>
        <w:t>河池市市场监督管理局2022年8月发文调整食品抽检任务类别及时间进度。剩下的280批次调整为2023年春节“你点我检”专项，抽样时间：12月下旬，2023年第一季度完成检验。</w:t>
      </w:r>
      <w:r>
        <w:rPr>
          <w:rFonts w:hint="eastAsia" w:ascii="仿宋_GB2312" w:hAnsi="仿宋_GB2312" w:eastAsia="仿宋_GB2312" w:cs="仿宋_GB2312"/>
          <w:bCs/>
          <w:sz w:val="32"/>
          <w:szCs w:val="32"/>
          <w:lang w:val="en-US" w:eastAsia="zh-CN"/>
        </w:rPr>
        <w:t>改进措施是是2023年度一季度尽快完成</w:t>
      </w:r>
      <w:r>
        <w:rPr>
          <w:rFonts w:hint="eastAsia" w:ascii="仿宋_GB2312" w:hAnsi="仿宋_GB2312" w:eastAsia="仿宋_GB2312" w:cs="仿宋_GB2312"/>
          <w:sz w:val="32"/>
          <w:szCs w:val="32"/>
        </w:rPr>
        <w:t>280批次</w:t>
      </w:r>
      <w:r>
        <w:rPr>
          <w:rFonts w:hint="eastAsia" w:ascii="仿宋_GB2312" w:hAnsi="仿宋_GB2312" w:eastAsia="仿宋_GB2312" w:cs="仿宋_GB2312"/>
          <w:bCs/>
          <w:sz w:val="32"/>
          <w:szCs w:val="32"/>
          <w:lang w:val="en-US" w:eastAsia="zh-CN"/>
        </w:rPr>
        <w:t>抽检工作。</w:t>
      </w:r>
    </w:p>
    <w:p>
      <w:pPr>
        <w:spacing w:line="520" w:lineRule="exact"/>
        <w:ind w:firstLine="600" w:firstLineChars="200"/>
        <w:rPr>
          <w:rFonts w:hint="eastAsia" w:ascii="仿宋_GB2312" w:hAnsi="仿宋_GB2312" w:eastAsia="仿宋_GB2312" w:cs="仿宋_GB2312"/>
          <w:sz w:val="30"/>
          <w:szCs w:val="30"/>
        </w:rPr>
      </w:pPr>
      <w:bookmarkStart w:id="0" w:name="_GoBack"/>
      <w:r>
        <w:rPr>
          <w:rFonts w:hint="eastAsia" w:ascii="仿宋_GB2312" w:hAnsi="仿宋_GB2312" w:eastAsia="仿宋_GB2312" w:cs="仿宋_GB2312"/>
          <w:sz w:val="30"/>
          <w:szCs w:val="30"/>
        </w:rPr>
        <w:t>成本指标</w:t>
      </w:r>
      <w:r>
        <w:rPr>
          <w:rFonts w:hint="eastAsia" w:ascii="仿宋_GB2312" w:hAnsi="仿宋_GB2312" w:eastAsia="仿宋_GB2312" w:cs="仿宋_GB2312"/>
          <w:bCs/>
          <w:sz w:val="30"/>
          <w:szCs w:val="30"/>
          <w:lang w:val="en-US" w:eastAsia="zh-CN"/>
        </w:rPr>
        <w:t>中专用材料费超标，原因是年初预算不准确，超出预算金额的39%，专用材料费支出超预期，改进措施是2023年预算要做得再仔细一些，增加专用材料费的支出金额。</w:t>
      </w:r>
    </w:p>
    <w:bookmarkEnd w:id="0"/>
    <w:p>
      <w:pPr>
        <w:spacing w:line="520" w:lineRule="exact"/>
        <w:ind w:firstLine="640" w:firstLineChars="200"/>
        <w:rPr>
          <w:rFonts w:hint="eastAsia" w:ascii="仿宋_GB2312" w:eastAsia="仿宋_GB2312"/>
          <w:sz w:val="32"/>
          <w:szCs w:val="32"/>
        </w:rPr>
      </w:pPr>
    </w:p>
    <w:p>
      <w:pPr>
        <w:numPr>
          <w:ilvl w:val="0"/>
          <w:numId w:val="2"/>
        </w:numPr>
        <w:spacing w:line="52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绩效自评结果拟应用和公开情况</w:t>
      </w:r>
    </w:p>
    <w:p>
      <w:pPr>
        <w:numPr>
          <w:ilvl w:val="0"/>
          <w:numId w:val="0"/>
        </w:numPr>
        <w:spacing w:line="520" w:lineRule="exact"/>
        <w:ind w:firstLine="64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2023年按规定在政务公开网站上公开。</w:t>
      </w:r>
    </w:p>
    <w:p>
      <w:pPr>
        <w:pStyle w:val="2"/>
        <w:ind w:firstLine="640"/>
        <w:rPr>
          <w:rFonts w:hint="default"/>
          <w:lang w:val="en-US" w:eastAsia="zh-CN"/>
        </w:rPr>
      </w:pPr>
    </w:p>
    <w:p>
      <w:pPr>
        <w:spacing w:line="52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五、其他需要说明的问题</w:t>
      </w:r>
    </w:p>
    <w:p>
      <w:pPr>
        <w:spacing w:line="52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10868"/>
    <w:multiLevelType w:val="singleLevel"/>
    <w:tmpl w:val="CA210868"/>
    <w:lvl w:ilvl="0" w:tentative="0">
      <w:start w:val="2"/>
      <w:numFmt w:val="chineseCounting"/>
      <w:suff w:val="nothing"/>
      <w:lvlText w:val="（%1）"/>
      <w:lvlJc w:val="left"/>
      <w:pPr>
        <w:ind w:left="-10"/>
      </w:pPr>
      <w:rPr>
        <w:rFonts w:hint="eastAsia"/>
      </w:rPr>
    </w:lvl>
  </w:abstractNum>
  <w:abstractNum w:abstractNumId="1">
    <w:nsid w:val="4C20B7C8"/>
    <w:multiLevelType w:val="singleLevel"/>
    <w:tmpl w:val="4C20B7C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yZDI3MjJiY2I0MTg5YzJlNDUwNWQxZDBhY2VmNzcifQ=="/>
  </w:docVars>
  <w:rsids>
    <w:rsidRoot w:val="05A5043E"/>
    <w:rsid w:val="00794BA2"/>
    <w:rsid w:val="048A5EF0"/>
    <w:rsid w:val="05A5043E"/>
    <w:rsid w:val="0BED1B02"/>
    <w:rsid w:val="0D5C15D8"/>
    <w:rsid w:val="11CF39C6"/>
    <w:rsid w:val="1A616643"/>
    <w:rsid w:val="2158786B"/>
    <w:rsid w:val="268A44F2"/>
    <w:rsid w:val="2C997D00"/>
    <w:rsid w:val="2CD95128"/>
    <w:rsid w:val="2F7A0236"/>
    <w:rsid w:val="314D4B1E"/>
    <w:rsid w:val="36172AF0"/>
    <w:rsid w:val="3CC65B22"/>
    <w:rsid w:val="3CF50863"/>
    <w:rsid w:val="42F754F5"/>
    <w:rsid w:val="439D232D"/>
    <w:rsid w:val="56474D13"/>
    <w:rsid w:val="572B1CFB"/>
    <w:rsid w:val="5BE04452"/>
    <w:rsid w:val="5E296204"/>
    <w:rsid w:val="5E9A33AB"/>
    <w:rsid w:val="61E652EC"/>
    <w:rsid w:val="639312C2"/>
    <w:rsid w:val="69624600"/>
    <w:rsid w:val="6A476DC1"/>
    <w:rsid w:val="6ACA40C6"/>
    <w:rsid w:val="714200FE"/>
    <w:rsid w:val="738D5435"/>
    <w:rsid w:val="7EFB5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qFormat/>
    <w:uiPriority w:val="0"/>
    <w:rPr>
      <w:color w:val="555555"/>
      <w:u w:val="none"/>
    </w:rPr>
  </w:style>
  <w:style w:type="character" w:styleId="7">
    <w:name w:val="Hyperlink"/>
    <w:basedOn w:val="5"/>
    <w:qFormat/>
    <w:uiPriority w:val="0"/>
    <w:rPr>
      <w:color w:val="555555"/>
      <w:u w:val="none"/>
    </w:rPr>
  </w:style>
  <w:style w:type="character" w:customStyle="1" w:styleId="8">
    <w:name w:val="hover15"/>
    <w:basedOn w:val="5"/>
    <w:qFormat/>
    <w:uiPriority w:val="0"/>
    <w:rPr>
      <w:color w:val="FFFFFF"/>
      <w:u w:val="none"/>
      <w:bdr w:val="single" w:color="ED1E00" w:sz="6" w:space="0"/>
      <w:shd w:val="clear" w:fill="ED1E00"/>
    </w:rPr>
  </w:style>
  <w:style w:type="character" w:customStyle="1" w:styleId="9">
    <w:name w:val="t_bg3"/>
    <w:basedOn w:val="5"/>
    <w:qFormat/>
    <w:uiPriority w:val="0"/>
    <w:rPr>
      <w:color w:val="FFFFFF"/>
      <w:bdr w:val="single" w:color="01AEFF" w:sz="6" w:space="0"/>
      <w:shd w:val="clear" w:fill="01AEFF"/>
    </w:rPr>
  </w:style>
  <w:style w:type="character" w:customStyle="1" w:styleId="10">
    <w:name w:val="t_bg2"/>
    <w:basedOn w:val="5"/>
    <w:qFormat/>
    <w:uiPriority w:val="0"/>
    <w:rPr>
      <w:color w:val="FFFFFF"/>
      <w:bdr w:val="single" w:color="FAA72D" w:sz="6" w:space="0"/>
      <w:shd w:val="clear" w:fill="FAA72D"/>
    </w:rPr>
  </w:style>
  <w:style w:type="character" w:customStyle="1" w:styleId="11">
    <w:name w:val="disab"/>
    <w:basedOn w:val="5"/>
    <w:qFormat/>
    <w:uiPriority w:val="0"/>
    <w:rPr>
      <w:bdr w:val="single" w:color="E4E4E4" w:sz="6" w:space="0"/>
      <w:shd w:val="clear" w:fill="EEEEEE"/>
    </w:rPr>
  </w:style>
  <w:style w:type="character" w:customStyle="1" w:styleId="12">
    <w:name w:val="current"/>
    <w:basedOn w:val="5"/>
    <w:qFormat/>
    <w:uiPriority w:val="0"/>
    <w:rPr>
      <w:color w:val="FFFFFF"/>
      <w:u w:val="none"/>
      <w:bdr w:val="single" w:color="ED1E00" w:sz="6" w:space="0"/>
      <w:shd w:val="clear" w:fill="ED1E00"/>
    </w:rPr>
  </w:style>
  <w:style w:type="character" w:customStyle="1" w:styleId="13">
    <w:name w:val="disabled"/>
    <w:basedOn w:val="5"/>
    <w:qFormat/>
    <w:uiPriority w:val="0"/>
    <w:rPr>
      <w:bdr w:val="single" w:color="E4E4E4" w:sz="6" w:space="0"/>
      <w:shd w:val="clear" w:fill="EEEEEE"/>
    </w:rPr>
  </w:style>
  <w:style w:type="character" w:customStyle="1" w:styleId="14">
    <w:name w:val="go"/>
    <w:basedOn w:val="5"/>
    <w:qFormat/>
    <w:uiPriority w:val="0"/>
    <w:rPr>
      <w:shd w:val="clear" w:fill="E2E2E2"/>
    </w:rPr>
  </w:style>
  <w:style w:type="character" w:customStyle="1" w:styleId="15">
    <w:name w:val="t_bg1"/>
    <w:basedOn w:val="5"/>
    <w:qFormat/>
    <w:uiPriority w:val="0"/>
    <w:rPr>
      <w:color w:val="FFFFFF"/>
      <w:bdr w:val="single" w:color="35B36A" w:sz="6" w:space="0"/>
      <w:shd w:val="clear" w:fill="35B36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837</Words>
  <Characters>953</Characters>
  <Lines>0</Lines>
  <Paragraphs>0</Paragraphs>
  <TotalTime>2</TotalTime>
  <ScaleCrop>false</ScaleCrop>
  <LinksUpToDate>false</LinksUpToDate>
  <CharactersWithSpaces>953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2020-01-10T03:22:00Z</dcterms:created>
  <dc:creator>池波</dc:creator>
  <cp:lastModifiedBy>Administrator</cp:lastModifiedBy>
  <dcterms:modified xsi:type="dcterms:W3CDTF">2023-03-06T06:46:56Z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51C9AF6DDD424D1AA273DCDA717FADB1</vt:lpwstr>
  </property>
</Properties>
</file>