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1A5E4">
      <w:pPr>
        <w:pStyle w:val="11"/>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广西壮族自治区河池市中级人民法院</w:t>
      </w:r>
    </w:p>
    <w:p w14:paraId="6069B422">
      <w:pPr>
        <w:pStyle w:val="11"/>
        <w:jc w:val="center"/>
        <w:rPr>
          <w:rFonts w:hint="eastAsia" w:ascii="方正小标宋简体" w:hAnsi="Times New Roman" w:eastAsia="方正小标宋简体" w:cs="Times New Roman"/>
          <w:kern w:val="2"/>
          <w:sz w:val="44"/>
          <w:szCs w:val="44"/>
          <w:lang w:val="en-US" w:eastAsia="zh-CN" w:bidi="ar-SA"/>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ascii="方正小标宋简体" w:hAnsi="Times New Roman" w:eastAsia="方正小标宋简体" w:cs="Times New Roman"/>
          <w:kern w:val="2"/>
          <w:sz w:val="44"/>
          <w:szCs w:val="44"/>
          <w:lang w:val="en-US" w:eastAsia="zh-CN" w:bidi="ar-SA"/>
        </w:rPr>
        <w:t>2025年度部门预算公开及“三公”经费预算编制说明</w:t>
      </w:r>
    </w:p>
    <w:p w14:paraId="58256E2C">
      <w:pPr>
        <w:pStyle w:val="13"/>
        <w:keepNext/>
        <w:keepLines/>
        <w:spacing w:after="240"/>
        <w:jc w:val="center"/>
        <w:rPr>
          <w:rFonts w:hint="eastAsia" w:ascii="黑体" w:hAnsi="黑体" w:eastAsia="黑体" w:cs="黑体"/>
          <w:sz w:val="32"/>
          <w:szCs w:val="32"/>
        </w:rPr>
      </w:pPr>
      <w:bookmarkStart w:id="0" w:name="bookmark0"/>
      <w:bookmarkStart w:id="1" w:name="bookmark1"/>
      <w:bookmarkStart w:id="2" w:name="bookmark2"/>
      <w:r>
        <w:rPr>
          <w:rFonts w:hint="eastAsia" w:ascii="黑体" w:hAnsi="黑体" w:eastAsia="黑体" w:cs="黑体"/>
          <w:sz w:val="32"/>
          <w:szCs w:val="32"/>
        </w:rPr>
        <w:t>目录</w:t>
      </w:r>
      <w:bookmarkEnd w:id="0"/>
      <w:bookmarkEnd w:id="1"/>
      <w:bookmarkEnd w:id="2"/>
    </w:p>
    <w:p w14:paraId="0E3A4F15">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第一部分：</w:t>
      </w:r>
      <w:r>
        <w:rPr>
          <w:rFonts w:ascii="黑体" w:hAnsi="黑体" w:eastAsia="黑体" w:cs="黑体"/>
          <w:sz w:val="32"/>
          <w:u w:color="auto"/>
        </w:rPr>
        <w:t>广西壮族自治区河池市中级人民法院单位概况</w:t>
      </w:r>
    </w:p>
    <w:p w14:paraId="2ED7D9B1">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一、主要职责</w:t>
      </w:r>
    </w:p>
    <w:p w14:paraId="239AEF6D">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二、机构设置情况</w:t>
      </w:r>
    </w:p>
    <w:p w14:paraId="3F25FA3F">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第二部分：</w:t>
      </w:r>
      <w:r>
        <w:rPr>
          <w:rFonts w:ascii="黑体" w:hAnsi="黑体" w:eastAsia="黑体" w:cs="黑体"/>
          <w:sz w:val="32"/>
          <w:u w:color="auto"/>
        </w:rPr>
        <w:t>广西壮族自治区河池市中级人民法院2025部门预算情况说明</w:t>
      </w:r>
    </w:p>
    <w:p w14:paraId="67E6E455">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一、部门收支总体情况说明</w:t>
      </w:r>
    </w:p>
    <w:p w14:paraId="4CB4A691">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二、部门收入总体情况说明</w:t>
      </w:r>
    </w:p>
    <w:p w14:paraId="456D7825">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三、部门支出总体情况说明</w:t>
      </w:r>
    </w:p>
    <w:p w14:paraId="45FE65A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四、财政拨款收支总体情况说明</w:t>
      </w:r>
    </w:p>
    <w:p w14:paraId="61A2C4D9">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五、一般公共预算支出情况说明</w:t>
      </w:r>
    </w:p>
    <w:p w14:paraId="40F06520">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六、一般公共预算基本支出情况说明</w:t>
      </w:r>
    </w:p>
    <w:p w14:paraId="4DC9DCB7">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七、一般公共预算“三公”经费支出情况说明</w:t>
      </w:r>
    </w:p>
    <w:p w14:paraId="6F562DF8">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八、政府性基金预算支出情况说明</w:t>
      </w:r>
    </w:p>
    <w:p w14:paraId="6C456C20">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九、国有资本经营预算支出情况说明</w:t>
      </w:r>
    </w:p>
    <w:p w14:paraId="4F162387">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十、其他重要事项情况说明</w:t>
      </w:r>
    </w:p>
    <w:p w14:paraId="2F920BFF">
      <w:pPr>
        <w:pStyle w:val="17"/>
        <w:ind w:left="0" w:leftChars="0" w:firstLine="320" w:firstLineChars="100"/>
        <w:jc w:val="left"/>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w:t>
      </w:r>
      <w:r>
        <w:rPr>
          <w:rFonts w:ascii="黑体" w:hAnsi="黑体" w:eastAsia="黑体" w:cs="黑体"/>
          <w:sz w:val="32"/>
          <w:u w:color="auto"/>
        </w:rPr>
        <w:t>广西壮族自治区河池市中级人民法院2025</w:t>
      </w:r>
      <w:r>
        <w:rPr>
          <w:rFonts w:hint="eastAsia" w:ascii="黑体" w:hAnsi="黑体" w:eastAsia="黑体" w:cs="黑体"/>
          <w:sz w:val="32"/>
          <w:szCs w:val="32"/>
          <w:u w:color="auto"/>
        </w:rPr>
        <w:t>年</w:t>
      </w:r>
      <w:r>
        <w:rPr>
          <w:rFonts w:hint="eastAsia" w:ascii="黑体" w:hAnsi="黑体" w:eastAsia="黑体" w:cs="黑体"/>
          <w:sz w:val="32"/>
          <w:szCs w:val="32"/>
        </w:rPr>
        <w:t>部门预算</w:t>
      </w:r>
      <w:r>
        <w:rPr>
          <w:rFonts w:hint="eastAsia" w:ascii="黑体" w:hAnsi="黑体" w:eastAsia="黑体" w:cs="黑体"/>
          <w:sz w:val="32"/>
          <w:szCs w:val="32"/>
          <w:lang w:val="en-US" w:eastAsia="zh-CN"/>
        </w:rPr>
        <w:t>相关报</w:t>
      </w:r>
      <w:r>
        <w:rPr>
          <w:rFonts w:hint="eastAsia" w:ascii="黑体" w:hAnsi="黑体" w:eastAsia="黑体" w:cs="黑体"/>
          <w:sz w:val="32"/>
          <w:szCs w:val="32"/>
        </w:rPr>
        <w:t>表</w:t>
      </w:r>
    </w:p>
    <w:p w14:paraId="60C1EFE6">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一、部门收支总体情况表</w:t>
      </w:r>
    </w:p>
    <w:p w14:paraId="480E2E28">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二、部门收入总体情况表</w:t>
      </w:r>
    </w:p>
    <w:p w14:paraId="388947EF">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三、部门支出总体情况表</w:t>
      </w:r>
    </w:p>
    <w:p w14:paraId="2002739E">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四、财政拨款收支总体情况表</w:t>
      </w:r>
    </w:p>
    <w:p w14:paraId="5EB4621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五、一般公共预算支出情况表</w:t>
      </w:r>
    </w:p>
    <w:p w14:paraId="383C605F">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六、一般公共预算基本支出情况表</w:t>
      </w:r>
    </w:p>
    <w:p w14:paraId="17A032E1">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七、财政拨款“三公”经费、会议费和培训费</w:t>
      </w:r>
    </w:p>
    <w:p w14:paraId="3A24DDCF">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八、政府性基金预算支出情况表</w:t>
      </w:r>
    </w:p>
    <w:p w14:paraId="29E650DB">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九、国有资本经营预算支出情况表</w:t>
      </w:r>
    </w:p>
    <w:p w14:paraId="1BC67A3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十、202</w:t>
      </w:r>
      <w:r>
        <w:rPr>
          <w:rFonts w:hint="eastAsia" w:ascii="仿宋_GB2312" w:hAnsi="宋体"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eastAsia="zh-CN" w:bidi="ar-SA"/>
        </w:rPr>
        <w:t>年度预算项目绩效目标公开表</w:t>
      </w:r>
    </w:p>
    <w:p w14:paraId="08AA3EF1">
      <w:pPr>
        <w:pStyle w:val="17"/>
        <w:ind w:left="0" w:leftChars="0" w:firstLine="320" w:firstLineChars="100"/>
        <w:jc w:val="left"/>
        <w:rPr>
          <w:rFonts w:hint="eastAsia" w:asciiTheme="minorEastAsia" w:hAnsiTheme="minorEastAsia" w:eastAsiaTheme="minorEastAsia" w:cstheme="minorEastAsia"/>
          <w:sz w:val="32"/>
          <w:szCs w:val="32"/>
          <w:lang w:eastAsia="zh-CN"/>
        </w:rPr>
        <w:sectPr>
          <w:footerReference r:id="rId5"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rPr>
          <w:rFonts w:hint="eastAsia" w:ascii="黑体" w:hAnsi="黑体" w:eastAsia="黑体" w:cs="黑体"/>
          <w:sz w:val="32"/>
          <w:szCs w:val="32"/>
        </w:rPr>
        <w:t>第四部分</w:t>
      </w:r>
      <w:r>
        <w:rPr>
          <w:rFonts w:hint="eastAsia" w:ascii="黑体" w:hAnsi="黑体" w:eastAsia="黑体" w:cs="黑体"/>
          <w:sz w:val="32"/>
          <w:szCs w:val="32"/>
          <w:lang w:eastAsia="zh-CN"/>
        </w:rPr>
        <w:t>：</w:t>
      </w:r>
      <w:r>
        <w:rPr>
          <w:rFonts w:hint="eastAsia" w:ascii="黑体" w:hAnsi="黑体" w:eastAsia="黑体" w:cs="黑体"/>
          <w:sz w:val="32"/>
          <w:szCs w:val="32"/>
        </w:rPr>
        <w:t>名词</w:t>
      </w:r>
      <w:r>
        <w:rPr>
          <w:rFonts w:hint="eastAsia" w:ascii="黑体" w:hAnsi="黑体" w:eastAsia="黑体" w:cs="黑体"/>
          <w:sz w:val="32"/>
          <w:szCs w:val="32"/>
          <w:lang w:val="en-US" w:eastAsia="zh-CN"/>
        </w:rPr>
        <w:t>解释</w:t>
      </w:r>
    </w:p>
    <w:p w14:paraId="21A05A56">
      <w:pPr>
        <w:pStyle w:val="13"/>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hint="eastAsia" w:ascii="黑体" w:hAnsi="黑体" w:eastAsia="黑体" w:cs="黑体"/>
          <w:b w:val="0"/>
          <w:bCs w:val="0"/>
          <w:sz w:val="32"/>
          <w:szCs w:val="32"/>
        </w:rPr>
      </w:pPr>
      <w:bookmarkStart w:id="3" w:name="bookmark12"/>
      <w:bookmarkStart w:id="4" w:name="bookmark14"/>
      <w:bookmarkStart w:id="5" w:name="bookmark13"/>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eastAsia="zh-CN"/>
        </w:rPr>
        <w:t>：</w:t>
      </w:r>
      <w:r>
        <w:rPr>
          <w:rFonts w:ascii="黑体" w:hAnsi="黑体" w:eastAsia="黑体" w:cs="黑体"/>
          <w:sz w:val="32"/>
          <w:u w:color="auto"/>
        </w:rPr>
        <w:t>广西壮族自治区河池市中级人民法院</w:t>
      </w:r>
      <w:r>
        <w:rPr>
          <w:rFonts w:hint="eastAsia" w:ascii="黑体" w:hAnsi="黑体" w:eastAsia="黑体" w:cs="黑体"/>
          <w:b w:val="0"/>
          <w:bCs w:val="0"/>
          <w:sz w:val="32"/>
          <w:szCs w:val="32"/>
        </w:rPr>
        <w:t>概况</w:t>
      </w:r>
      <w:bookmarkEnd w:id="3"/>
      <w:bookmarkEnd w:id="4"/>
      <w:bookmarkEnd w:id="5"/>
    </w:p>
    <w:p w14:paraId="5C9C9FF1">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一、主要职责</w:t>
      </w:r>
    </w:p>
    <w:p w14:paraId="4366D78E">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（1）审判法律规定应由本院管辖的和其认为应当由自己审判的刑事、民事、行政等第一审案件。</w:t>
      </w:r>
    </w:p>
    <w:p w14:paraId="1E3CEC0E">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（2）审判法律规定由本院管辖的刑事、民事、行政等第二审案件。</w:t>
      </w:r>
    </w:p>
    <w:p w14:paraId="21B2248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（3）审理上级人民法院指令再审、本院依照审判监督程序提起再审以及由河池市人民检察院按照审判监督程序提起抗诉的案件。</w:t>
      </w:r>
    </w:p>
    <w:p w14:paraId="4D4C2FE9">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（4）受理不服下级人民法院裁判生效的各类申诉和再审申请案件，对其中确有错误的，提审或指令下级人民法院再审。</w:t>
      </w:r>
    </w:p>
    <w:p w14:paraId="31D1D3B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（5）审判上级人民法院交由审判的刑事、民事、行政等案件。</w:t>
      </w:r>
    </w:p>
    <w:p w14:paraId="4AA032D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（6）依法行使司法决定权和司法执行权。对下级人民法院的执行案件进行业务上监督、指导和工作上的统一协调、指挥。</w:t>
      </w:r>
    </w:p>
    <w:p w14:paraId="68E4E4D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（7）依法决定国家赔偿。</w:t>
      </w:r>
    </w:p>
    <w:p w14:paraId="7151DBB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（8）对下级人民法院行使案件指定管辖权。</w:t>
      </w:r>
    </w:p>
    <w:p w14:paraId="62688C2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（9）监督和指导本市基层人民法院的审判工作。</w:t>
      </w:r>
    </w:p>
    <w:p w14:paraId="6BEFFC5E">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（10）依法决定评估、拍卖事项。</w:t>
      </w:r>
    </w:p>
    <w:p w14:paraId="6B04F560">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（11）调查研究审判工作中的法律政策适用及其他疑难问题，总结审判工作经验。</w:t>
      </w:r>
    </w:p>
    <w:p w14:paraId="4BC17572">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（12）根据审判工作情况对相关部门提出司法建议。</w:t>
      </w:r>
    </w:p>
    <w:p w14:paraId="7B1BAD3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13）组织和指导全市法院系统开展思想政治教育和培训工作；组织开展全市法院系统表彰奖励活动；按照权限管理法官、执行员、书记员、司法警察和其他工作人员；协助地方党委考察协管干部人选和抓好班子建设；协助市主管部门管理全市人民法院的机构、编制工作。</w:t>
      </w:r>
    </w:p>
    <w:p w14:paraId="4756AAE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（14）领导全市人民法院的监察工作。</w:t>
      </w:r>
    </w:p>
    <w:p w14:paraId="774EB928">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（15）领导全市人民法院司法警察工作。</w:t>
      </w:r>
    </w:p>
    <w:p w14:paraId="13254FF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（16）参与社会治安综合治理工作，在审判工作中宣传法制，教育公民自觉遵守宪法和法律。</w:t>
      </w:r>
    </w:p>
    <w:p w14:paraId="35DA60D8">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（17）管理本院的司法行政事务；指导基层人民法院物质装备和基础设施建设。</w:t>
      </w:r>
    </w:p>
    <w:p w14:paraId="647D433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（18）管理本院直属的社会团体。</w:t>
      </w:r>
    </w:p>
    <w:p w14:paraId="779656D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（19）承办其他应由本院负责的工作。</w:t>
      </w:r>
    </w:p>
    <w:p w14:paraId="7EBCF632">
      <w:pPr>
        <w:pStyle w:val="17"/>
        <w:spacing w:after="0" w:line="619" w:lineRule="exact"/>
        <w:ind w:firstLine="620"/>
        <w:jc w:val="left"/>
        <w:rPr>
          <w:rFonts w:hint="eastAsia" w:ascii="黑体" w:hAnsi="Times New Roman" w:eastAsia="黑体" w:cs="Times New Roman"/>
          <w:kern w:val="2"/>
          <w:sz w:val="32"/>
          <w:szCs w:val="32"/>
          <w:u w:val="none"/>
          <w:lang w:val="en-US" w:eastAsia="zh-CN" w:bidi="ar-SA"/>
        </w:rPr>
      </w:pPr>
      <w:bookmarkStart w:id="6" w:name="bookmark24"/>
      <w:r>
        <w:rPr>
          <w:rFonts w:hint="eastAsia" w:ascii="黑体" w:hAnsi="Times New Roman" w:eastAsia="黑体" w:cs="Times New Roman"/>
          <w:kern w:val="2"/>
          <w:sz w:val="32"/>
          <w:szCs w:val="32"/>
          <w:u w:val="none"/>
          <w:lang w:val="en-US" w:eastAsia="zh-CN" w:bidi="ar-SA"/>
        </w:rPr>
        <w:t>二</w:t>
      </w:r>
      <w:bookmarkEnd w:id="6"/>
      <w:r>
        <w:rPr>
          <w:rFonts w:hint="eastAsia" w:ascii="黑体" w:hAnsi="Times New Roman" w:eastAsia="黑体" w:cs="Times New Roman"/>
          <w:kern w:val="2"/>
          <w:sz w:val="32"/>
          <w:szCs w:val="32"/>
          <w:u w:val="none"/>
          <w:lang w:val="en-US" w:eastAsia="zh-CN" w:bidi="ar-SA"/>
        </w:rPr>
        <w:t>、机构设置情况</w:t>
      </w:r>
    </w:p>
    <w:p w14:paraId="276A539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single"/>
          <w:lang w:val="en-US" w:eastAsia="zh-CN" w:bidi="ar-SA"/>
        </w:rPr>
      </w:pPr>
      <w:r>
        <w:rPr>
          <w:rFonts w:hint="eastAsia" w:ascii="仿宋_GB2312" w:hAnsi="宋体" w:eastAsia="仿宋_GB2312" w:cs="Times New Roman"/>
          <w:kern w:val="2"/>
          <w:sz w:val="32"/>
          <w:szCs w:val="32"/>
          <w:highlight w:val="none"/>
          <w:u w:val="none"/>
          <w:lang w:val="en-US" w:eastAsia="zh-CN" w:bidi="ar-SA"/>
        </w:rPr>
        <w:t>共有21个内设机构，分别为政治部、办公室、审判管理室、立案庭、刑事审判第一庭、刑事审判第二庭、民事审判第一庭、民事审判第二庭、民事审判第三庭、民事审判第四庭、行政审判庭、赔偿委员会办公室、审判监督庭、执行局、司法警察支队、督察室、研究室、司法行政装备科、机关党委、司法技术管理科、诉讼服务中心。</w:t>
      </w:r>
    </w:p>
    <w:p w14:paraId="64501274">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260F3918">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2EDA1B63">
      <w:pPr>
        <w:rPr>
          <w:rFonts w:hint="eastAsia" w:asciiTheme="minorEastAsia" w:hAnsiTheme="minorEastAsia" w:eastAsiaTheme="minorEastAsia" w:cstheme="minorEastAsia"/>
          <w:sz w:val="32"/>
          <w:szCs w:val="32"/>
        </w:rPr>
      </w:pPr>
      <w:r>
        <w:br w:type="page"/>
      </w:r>
    </w:p>
    <w:p w14:paraId="745916BE">
      <w:pPr>
        <w:pStyle w:val="13"/>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hint="eastAsia" w:ascii="黑体" w:hAnsi="黑体" w:eastAsia="黑体" w:cs="黑体"/>
          <w:b w:val="0"/>
          <w:bCs w:val="0"/>
          <w:sz w:val="32"/>
          <w:szCs w:val="32"/>
        </w:rPr>
      </w:pPr>
      <w:bookmarkStart w:id="7" w:name="bookmark68"/>
      <w:bookmarkStart w:id="8" w:name="bookmark70"/>
      <w:bookmarkStart w:id="9" w:name="bookmark69"/>
      <w:bookmarkStart w:id="10" w:name="bookmark28"/>
      <w:bookmarkStart w:id="11" w:name="bookmark26"/>
      <w:bookmarkStart w:id="12" w:name="bookmark27"/>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w:t>
      </w:r>
      <w:bookmarkEnd w:id="7"/>
      <w:bookmarkEnd w:id="8"/>
      <w:bookmarkEnd w:id="9"/>
      <w:r>
        <w:rPr>
          <w:rFonts w:hint="eastAsia" w:ascii="黑体" w:hAnsi="黑体" w:eastAsia="黑体" w:cs="黑体"/>
          <w:b w:val="0"/>
          <w:bCs w:val="0"/>
          <w:sz w:val="32"/>
          <w:szCs w:val="32"/>
          <w:lang w:eastAsia="zh-CN"/>
        </w:rPr>
        <w:t>广西壮族自治区河池市中级人民法院</w:t>
      </w:r>
      <w:r>
        <w:rPr>
          <w:rFonts w:ascii="黑体" w:hAnsi="黑体" w:eastAsia="黑体" w:cs="黑体"/>
          <w:sz w:val="32"/>
          <w:u w:color="auto"/>
        </w:rPr>
        <w:t>2025年部门预算情况说明</w:t>
      </w:r>
    </w:p>
    <w:p w14:paraId="05AE6898">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3" w:name="bookmark71"/>
      <w:r>
        <w:rPr>
          <w:rFonts w:hint="eastAsia" w:ascii="黑体" w:hAnsi="Times New Roman" w:eastAsia="黑体" w:cs="Times New Roman"/>
          <w:kern w:val="2"/>
          <w:sz w:val="32"/>
          <w:szCs w:val="32"/>
          <w:lang w:val="en-US" w:eastAsia="zh-CN" w:bidi="ar-SA"/>
        </w:rPr>
        <w:t>一</w:t>
      </w:r>
      <w:bookmarkEnd w:id="13"/>
      <w:r>
        <w:rPr>
          <w:rFonts w:hint="eastAsia" w:ascii="黑体" w:hAnsi="Times New Roman" w:eastAsia="黑体" w:cs="Times New Roman"/>
          <w:kern w:val="2"/>
          <w:sz w:val="32"/>
          <w:szCs w:val="32"/>
          <w:lang w:val="en-US" w:eastAsia="zh-CN" w:bidi="ar-SA"/>
        </w:rPr>
        <w:t>、部门预算收支总体情况说明</w:t>
      </w:r>
    </w:p>
    <w:p w14:paraId="250BBAB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我部门总收入</w:t>
      </w:r>
      <w:r>
        <w:rPr>
          <w:rFonts w:ascii="仿宋_GB2312" w:hAnsi="仿宋_GB2312" w:eastAsia="仿宋_GB2312" w:cs="仿宋_GB2312"/>
          <w:sz w:val="32"/>
          <w:u w:color="auto"/>
        </w:rPr>
        <w:t>4112.67万元，总支出4112.67万元。总收入较202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4436.80万元，减少324.13万元，下降7.31%，主要原因是申报项目支出预算被压缩。总支出较202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4436.80万元，减少324.13万元，下降7.31%，主要原因是申报项目支出预算被压缩。</w:t>
      </w:r>
    </w:p>
    <w:p w14:paraId="0AB496FF">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二、部门收入总体情况说明</w:t>
      </w:r>
    </w:p>
    <w:p w14:paraId="6747C07F">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4257040" cy="3139440"/>
            <wp:effectExtent l="4445" t="4445" r="5715" b="18415"/>
            <wp:docPr id="1586"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14:paraId="5B133A5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年我部门总收入4112.67万元，较202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4436.80万元，减少324.13万元，下降7.31%，主要原因是申报项目支出预算被压缩。</w:t>
      </w:r>
    </w:p>
    <w:p w14:paraId="0ED248BD">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三、部门支出总体情况说明</w:t>
      </w:r>
    </w:p>
    <w:p w14:paraId="76D12B7B">
      <w:pPr>
        <w:pStyle w:val="19"/>
        <w:spacing w:line="240" w:lineRule="auto"/>
        <w:ind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drawing>
          <wp:inline distT="0" distB="0" distL="114300" distR="114300">
            <wp:extent cx="5080000" cy="3810000"/>
            <wp:effectExtent l="4445" t="4445" r="20955" b="14605"/>
            <wp:docPr id="1587"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14:paraId="6BD78D1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年我部门总支出4112.67万元，较202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4436.80万元，减少324.13万元，下降7.31%，主要原因是申报项目支出预算被压缩。主要包括：综合办案费（非税）申报预算支出500万，获批100万；办公办案运维服务采购（非税）申报预算支出1530万，获批100万；数字法院建设（非税）申报预算580万，获批0万。</w:t>
      </w:r>
    </w:p>
    <w:p w14:paraId="1DAC7FE2">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（一）按支出功能分类科目划分，共分为</w:t>
      </w:r>
      <w:r>
        <w:rPr>
          <w:rFonts w:ascii="仿宋_GB2312" w:hAnsi="仿宋_GB2312" w:eastAsia="仿宋_GB2312" w:cs="仿宋_GB2312"/>
          <w:sz w:val="32"/>
          <w:u w:color="auto"/>
        </w:rPr>
        <w:t>6类，其中:</w:t>
      </w:r>
    </w:p>
    <w:p w14:paraId="484DD85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1)公共安全支出1407.26万元，占支出总预算34.22%,比上年减少1013.60万元，下降41.87%,主要原因是：申报项目支出预算被压缩。</w:t>
      </w:r>
    </w:p>
    <w:p w14:paraId="148D1CA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2)教育支出30.15万元，占支出总预算0.73%,比上年增加5.50万元，增长22.31%,主要原因是：按在职工资总额为基数测定，2025年度在职工资总额较2024年度有所提高。</w:t>
      </w:r>
    </w:p>
    <w:p w14:paraId="5B183EE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3)科学技术支出1624.92万元，占支出总预算39.51%,比上年增加624.92万元，增长62.49%,主要原因是：财政自行调整，单位原申报预算项目中不包含科学技术支出。</w:t>
      </w:r>
    </w:p>
    <w:p w14:paraId="5ED8C75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4)社会保障和就业支出595.17万元，占支出总预算14.47%,比上年增加73.45万元，增长14.08%,主要原因是：按在职工资总额为基数测定，2025年度在职工资总额较2024年度有所提高。</w:t>
      </w:r>
    </w:p>
    <w:p w14:paraId="5E894FD9">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5)卫生健康支出213.95万元，占支出总预算5.20%,比上年减少19.96万元，下降8.53%,主要原因是：按在职工资总额为基数测定，2025年度卫生健康支出预算计算比例较2024年度下调。</w:t>
      </w:r>
    </w:p>
    <w:p w14:paraId="0116417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6)住房保障支出241.22万元，占支出总预算5.87%,比上年增加5.57万元，增长2.36%,主要原因是：按在职工资总额为基数测定，2025年度在职工资总额较2024年度有所提高。</w:t>
      </w:r>
    </w:p>
    <w:p w14:paraId="7D8095C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(二)按支出结构分类划分，分为基本支出预算和项目支出预算。</w:t>
      </w:r>
    </w:p>
    <w:p w14:paraId="757208A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p>
    <w:p w14:paraId="2204A9C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r>
        <w:rPr>
          <w:rFonts w:ascii="仿宋_GB2312" w:hAnsi="仿宋_GB2312" w:eastAsia="仿宋_GB2312" w:cs="仿宋_GB2312"/>
          <w:sz w:val="32"/>
          <w:u w:color="auto"/>
        </w:rPr>
        <w:t>3872.67万元，占支出预算94.16%,比上年增加479.87万元，增长14.14%。其中：</w:t>
      </w:r>
    </w:p>
    <w:p w14:paraId="68ADF4A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1)工资福利支出3361.59万元，占基本支出总预算86.80%,比上年增长497.58万元，增长17.37%,主要原因是：按在职工资总额为基数测定，2025年度在职工资总额较2024年度有所提高。</w:t>
      </w:r>
    </w:p>
    <w:p w14:paraId="212DB418">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2)商品和服务支出398.34万元，占基本支出总预算10.29%,比上年增长2.51万元，增长0.63%,主要原因是：与上年大致持平。</w:t>
      </w:r>
    </w:p>
    <w:p w14:paraId="22F1748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3)对个人和家庭的补助112.74万元，占基本支出总预算2.91%,比上年减少20.22万元，减少15.21%,主要原因是：本院两名遗属于2024年度去世，2025年度没有遗属生活补助预算。</w:t>
      </w:r>
    </w:p>
    <w:p w14:paraId="072DA4D0">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zh-TW" w:eastAsia="zh-TW" w:bidi="ar-SA"/>
        </w:rPr>
      </w:pPr>
      <w:r>
        <w:rPr>
          <w:rFonts w:hint="eastAsia" w:ascii="仿宋_GB2312" w:hAnsi="宋体" w:eastAsia="仿宋_GB2312" w:cs="Times New Roman"/>
          <w:kern w:val="2"/>
          <w:sz w:val="32"/>
          <w:szCs w:val="32"/>
          <w:highlight w:val="none"/>
          <w:u w:val="none"/>
          <w:lang w:val="zh-TW" w:eastAsia="zh-TW" w:bidi="ar-SA"/>
        </w:rPr>
        <w:t>项目支出预算。</w:t>
      </w:r>
    </w:p>
    <w:p w14:paraId="32D5C05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项目支出预算</w:t>
      </w:r>
      <w:r>
        <w:rPr>
          <w:rFonts w:ascii="仿宋_GB2312" w:hAnsi="仿宋_GB2312" w:eastAsia="仿宋_GB2312" w:cs="仿宋_GB2312"/>
          <w:sz w:val="32"/>
          <w:u w:color="auto"/>
        </w:rPr>
        <w:t>240.00万元，占支出预算5.84%,比上年减少804.00万元，下降77.01%。其中：</w:t>
      </w:r>
    </w:p>
    <w:p w14:paraId="1BEE323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1)工资福利支出16.00万元，占项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6.67%</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增长0.00万元，增长0.00%,主要原因是：</w:t>
      </w:r>
      <w:r>
        <w:rPr>
          <w:rFonts w:hint="eastAsia" w:ascii="仿宋_GB2312" w:hAnsi="宋体" w:eastAsia="仿宋_GB2312" w:cs="Times New Roman"/>
          <w:kern w:val="2"/>
          <w:sz w:val="32"/>
          <w:szCs w:val="32"/>
          <w:highlight w:val="none"/>
          <w:u w:val="none"/>
          <w:lang w:val="zh-TW" w:eastAsia="zh-TW" w:bidi="ar-SA"/>
        </w:rPr>
        <w:t>与上年持平</w:t>
      </w:r>
      <w:r>
        <w:rPr>
          <w:rFonts w:hint="eastAsia" w:ascii="仿宋_GB2312" w:hAnsi="宋体" w:eastAsia="仿宋_GB2312" w:cs="Times New Roman"/>
          <w:kern w:val="2"/>
          <w:sz w:val="32"/>
          <w:szCs w:val="32"/>
          <w:highlight w:val="none"/>
          <w:u w:val="none"/>
          <w:lang w:val="en-US" w:eastAsia="zh-CN" w:bidi="ar-SA"/>
        </w:rPr>
        <w:t>。</w:t>
      </w:r>
    </w:p>
    <w:p w14:paraId="0BBB06DC">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2)商品和服务支出224.00万元，占项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93.33%</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减少704.00万元，减少75.86%,主要原因是：</w:t>
      </w:r>
      <w:r>
        <w:rPr>
          <w:rFonts w:hint="eastAsia" w:ascii="仿宋_GB2312" w:hAnsi="宋体" w:eastAsia="仿宋_GB2312" w:cs="Times New Roman"/>
          <w:kern w:val="2"/>
          <w:sz w:val="32"/>
          <w:szCs w:val="32"/>
          <w:highlight w:val="none"/>
          <w:u w:val="none"/>
          <w:lang w:val="zh-TW" w:eastAsia="zh-TW" w:bidi="ar-SA"/>
        </w:rPr>
        <w:t>申报项目支出预算被压缩</w:t>
      </w:r>
      <w:r>
        <w:rPr>
          <w:rFonts w:hint="eastAsia" w:ascii="仿宋_GB2312" w:hAnsi="宋体" w:eastAsia="仿宋_GB2312" w:cs="Times New Roman"/>
          <w:kern w:val="2"/>
          <w:sz w:val="32"/>
          <w:szCs w:val="32"/>
          <w:highlight w:val="none"/>
          <w:u w:val="none"/>
          <w:lang w:val="en-US" w:eastAsia="zh-CN" w:bidi="ar-SA"/>
        </w:rPr>
        <w:t>。</w:t>
      </w:r>
    </w:p>
    <w:p w14:paraId="164C48D2">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3)资本性支出0.00万元，占项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0.00%</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减少100.00万元，减少100.00%,主要原因是：</w:t>
      </w:r>
      <w:r>
        <w:rPr>
          <w:rFonts w:hint="eastAsia" w:ascii="仿宋_GB2312" w:hAnsi="宋体" w:eastAsia="仿宋_GB2312" w:cs="Times New Roman"/>
          <w:kern w:val="2"/>
          <w:sz w:val="32"/>
          <w:szCs w:val="32"/>
          <w:highlight w:val="none"/>
          <w:u w:val="none"/>
          <w:lang w:val="zh-TW" w:eastAsia="zh-TW" w:bidi="ar-SA"/>
        </w:rPr>
        <w:t>申报项目支出预算被压缩</w:t>
      </w:r>
      <w:r>
        <w:rPr>
          <w:rFonts w:hint="eastAsia" w:ascii="仿宋_GB2312" w:hAnsi="宋体" w:eastAsia="仿宋_GB2312" w:cs="Times New Roman"/>
          <w:kern w:val="2"/>
          <w:sz w:val="32"/>
          <w:szCs w:val="32"/>
          <w:highlight w:val="none"/>
          <w:u w:val="none"/>
          <w:lang w:val="en-US" w:eastAsia="zh-CN" w:bidi="ar-SA"/>
        </w:rPr>
        <w:t>。</w:t>
      </w:r>
    </w:p>
    <w:p w14:paraId="75CD1452">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四、财政拨款收支总体情况说明</w:t>
      </w:r>
    </w:p>
    <w:p w14:paraId="47E5AEC8">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5080000" cy="3810000"/>
            <wp:effectExtent l="4445" t="4445" r="5715" b="10795"/>
            <wp:docPr id="1588"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14:paraId="0E5D5FE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年财政拨款收入我部门财政拨款总收入4112.67万元，总支出4112.67万元。财政拨款总收入较202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4436.80万元，减少324.13万元，下降7.31%，主要原因是申报项目支出预算被压缩。财政拨款总支出较202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4436.80万元，减少324.13万元，下降7.31%，主要原因是申报项目支出预算被压缩。</w:t>
      </w:r>
    </w:p>
    <w:p w14:paraId="00FAD795">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五、一般公共预算支出情况说明</w:t>
      </w:r>
    </w:p>
    <w:p w14:paraId="5B762600">
      <w:pPr>
        <w:pStyle w:val="19"/>
        <w:spacing w:line="240" w:lineRule="auto"/>
        <w:ind w:firstLine="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080000" cy="3810000"/>
            <wp:effectExtent l="4445" t="4445" r="20955" b="14605"/>
            <wp:docPr id="1589"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4"/>
              </a:graphicData>
            </a:graphic>
          </wp:inline>
        </w:drawing>
      </w:r>
    </w:p>
    <w:p w14:paraId="09FD878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年一般公共预算支出共4112.67万元，较202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4436.80万元，减少324.13万元，下降7.31%，主要原因是申报项目支出预算被压缩。具体情况为：</w:t>
      </w:r>
    </w:p>
    <w:p w14:paraId="37D31BC6">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六、一般公共预算基本支出情况说明</w:t>
      </w:r>
    </w:p>
    <w:p w14:paraId="6D13FB66">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20955" b="14605"/>
            <wp:docPr id="1590"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5"/>
              </a:graphicData>
            </a:graphic>
          </wp:inline>
        </w:drawing>
      </w:r>
    </w:p>
    <w:p w14:paraId="12F694B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年一般公共预算基本支出共3872.67万元，较202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3392.80万元,增加479.87万元，增长14.14%，主要原因是人员经费较上年有所提高具体情况为：</w:t>
      </w:r>
    </w:p>
    <w:p w14:paraId="23148CE3">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七、一般公共预算</w:t>
      </w:r>
      <w:r>
        <w:rPr>
          <w:rFonts w:hint="eastAsia" w:ascii="黑体" w:hAnsi="Times New Roman" w:eastAsia="黑体" w:cs="Times New Roman"/>
          <w:kern w:val="2"/>
          <w:sz w:val="32"/>
          <w:szCs w:val="32"/>
          <w:lang w:val="zh-CN" w:eastAsia="zh-CN" w:bidi="ar-SA"/>
        </w:rPr>
        <w:t>“三</w:t>
      </w:r>
      <w:r>
        <w:rPr>
          <w:rFonts w:hint="eastAsia" w:ascii="黑体" w:hAnsi="Times New Roman" w:eastAsia="黑体" w:cs="Times New Roman"/>
          <w:kern w:val="2"/>
          <w:sz w:val="32"/>
          <w:szCs w:val="32"/>
          <w:lang w:val="en-US" w:eastAsia="zh-CN" w:bidi="ar-SA"/>
        </w:rPr>
        <w:t>公”经费支出情况说明</w:t>
      </w:r>
    </w:p>
    <w:p w14:paraId="7343C6C9">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5715" b="10795"/>
            <wp:docPr id="1591"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6"/>
              </a:graphicData>
            </a:graphic>
          </wp:inline>
        </w:drawing>
      </w:r>
    </w:p>
    <w:p w14:paraId="7BE32083">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bookmarkStart w:id="14" w:name="bookmark90"/>
      <w:r>
        <w:rPr>
          <w:rFonts w:hint="eastAsia" w:ascii="仿宋_GB2312" w:hAnsi="宋体" w:eastAsia="仿宋_GB2312" w:cs="Times New Roman"/>
          <w:color w:val="000000"/>
          <w:kern w:val="2"/>
          <w:sz w:val="32"/>
          <w:szCs w:val="32"/>
          <w:highlight w:val="none"/>
          <w:u w:val="none"/>
          <w:lang w:val="en-US" w:eastAsia="zh-CN" w:bidi="ar-SA"/>
        </w:rPr>
        <w:t>（一）</w:t>
      </w:r>
      <w:r>
        <w:rPr>
          <w:rFonts w:ascii="仿宋_GB2312" w:hAnsi="仿宋_GB2312" w:eastAsia="仿宋_GB2312" w:cs="仿宋_GB2312"/>
          <w:color w:val="000000"/>
          <w:sz w:val="32"/>
          <w:u w:color="auto"/>
        </w:rPr>
        <w:t>2025年部门预算共安排</w:t>
      </w:r>
      <w:r>
        <w:rPr>
          <w:rFonts w:hint="eastAsia" w:ascii="仿宋_GB2312" w:hAnsi="宋体" w:eastAsia="仿宋_GB2312" w:cs="Times New Roman"/>
          <w:color w:val="000000"/>
          <w:kern w:val="2"/>
          <w:sz w:val="32"/>
          <w:szCs w:val="32"/>
          <w:highlight w:val="none"/>
          <w:u w:val="none"/>
          <w:lang w:val="zh-CN" w:eastAsia="zh-CN" w:bidi="ar-SA"/>
        </w:rPr>
        <w:t>“三公”</w:t>
      </w:r>
      <w:r>
        <w:rPr>
          <w:rFonts w:hint="eastAsia" w:ascii="仿宋_GB2312" w:hAnsi="宋体" w:eastAsia="仿宋_GB2312" w:cs="Times New Roman"/>
          <w:color w:val="000000"/>
          <w:kern w:val="2"/>
          <w:sz w:val="32"/>
          <w:szCs w:val="32"/>
          <w:highlight w:val="none"/>
          <w:u w:val="none"/>
          <w:lang w:val="en-US" w:eastAsia="zh-CN" w:bidi="ar-SA"/>
        </w:rPr>
        <w:t>经费支出预算</w:t>
      </w:r>
      <w:r>
        <w:rPr>
          <w:rFonts w:ascii="仿宋_GB2312" w:hAnsi="仿宋_GB2312" w:eastAsia="仿宋_GB2312" w:cs="仿宋_GB2312"/>
          <w:color w:val="000000"/>
          <w:sz w:val="32"/>
          <w:u w:color="auto"/>
        </w:rPr>
        <w:t>43.00万元（全口径），其中：因公出国（境）经费支出预算0.00万元，公务接待费支出预算3.00万元，公务用车购置及运行费支出预算40.00万元（公务用车购置费0.00万元,公务用车运行维护费40.00万元）。</w:t>
      </w:r>
    </w:p>
    <w:p w14:paraId="0F653DEC">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w:t>
      </w:r>
      <w:r>
        <w:rPr>
          <w:rFonts w:ascii="仿宋_GB2312" w:hAnsi="仿宋_GB2312" w:eastAsia="仿宋_GB2312" w:cs="仿宋_GB2312"/>
          <w:color w:val="000000"/>
          <w:sz w:val="32"/>
          <w:u w:color="auto"/>
        </w:rPr>
        <w:t>2025年一般公共预算安排的“三公”经费支出预算43.00万元，同口径较202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41.00万元，增加2.00万元，增长4.88%，具体如下：</w:t>
      </w:r>
    </w:p>
    <w:p w14:paraId="42F75F2F">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1.因公出国（境）费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0.00万元，增加0.00万元，增长0%，主要原因是无出国（境）工作安排。</w:t>
      </w:r>
    </w:p>
    <w:p w14:paraId="01515E88">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2.公务接待费</w:t>
      </w:r>
      <w:r>
        <w:rPr>
          <w:rFonts w:ascii="仿宋_GB2312" w:hAnsi="仿宋_GB2312" w:eastAsia="仿宋_GB2312" w:cs="仿宋_GB2312"/>
          <w:color w:val="000000"/>
          <w:sz w:val="32"/>
          <w:u w:color="auto"/>
        </w:rPr>
        <w:t>2025年预算安排3.00万元，较202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3.00万元，增加0.00万元，增长0.00%，主要原因是与上年持平。</w:t>
      </w:r>
    </w:p>
    <w:p w14:paraId="32550C0F">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3.公务用车购置及运行费</w:t>
      </w:r>
      <w:r>
        <w:rPr>
          <w:rFonts w:ascii="仿宋_GB2312" w:hAnsi="仿宋_GB2312" w:eastAsia="仿宋_GB2312" w:cs="仿宋_GB2312"/>
          <w:color w:val="000000"/>
          <w:sz w:val="32"/>
          <w:u w:color="auto"/>
        </w:rPr>
        <w:t>2025年预算安排40.00万元，较202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38.00万元，增加2.00万元，增长5.26%，其中：</w:t>
      </w:r>
    </w:p>
    <w:p w14:paraId="17069C90">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公务用车购置费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0.00万元，增加0.00万元，增长0%，主要原因是与上年持平。</w:t>
      </w:r>
    </w:p>
    <w:p w14:paraId="1C4BB610">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公务用车运行维护费</w:t>
      </w:r>
      <w:r>
        <w:rPr>
          <w:rFonts w:ascii="仿宋_GB2312" w:hAnsi="仿宋_GB2312" w:eastAsia="仿宋_GB2312" w:cs="仿宋_GB2312"/>
          <w:color w:val="000000"/>
          <w:sz w:val="32"/>
          <w:u w:color="auto"/>
        </w:rPr>
        <w:t>2025年预算安排40.00万元，较202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38.00万元，增加2.00万元，增长5.26%，主要原因是2024年度新购入公务用车1辆。</w:t>
      </w:r>
    </w:p>
    <w:p w14:paraId="28A2172B">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八</w:t>
      </w:r>
      <w:bookmarkEnd w:id="14"/>
      <w:r>
        <w:rPr>
          <w:rFonts w:hint="eastAsia" w:ascii="黑体" w:hAnsi="Times New Roman" w:eastAsia="黑体" w:cs="Times New Roman"/>
          <w:kern w:val="2"/>
          <w:sz w:val="32"/>
          <w:szCs w:val="32"/>
          <w:lang w:val="en-US" w:eastAsia="zh-CN" w:bidi="ar-SA"/>
        </w:rPr>
        <w:t>、政府性基金预算支出情况说明</w:t>
      </w:r>
    </w:p>
    <w:p w14:paraId="50148A05">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2025年政府性基金预算支出共0.00万元，较202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0.00万元，增加0.00万元，增长0%，主要原因是无政府性基金预算支出项目。</w:t>
      </w:r>
    </w:p>
    <w:p w14:paraId="34AEFC29">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5" w:name="bookmark91"/>
      <w:r>
        <w:rPr>
          <w:rFonts w:hint="eastAsia" w:ascii="黑体" w:hAnsi="Times New Roman" w:eastAsia="黑体" w:cs="Times New Roman"/>
          <w:kern w:val="2"/>
          <w:sz w:val="32"/>
          <w:szCs w:val="32"/>
          <w:lang w:val="en-US" w:eastAsia="zh-CN" w:bidi="ar-SA"/>
        </w:rPr>
        <w:t>九</w:t>
      </w:r>
      <w:bookmarkEnd w:id="15"/>
      <w:r>
        <w:rPr>
          <w:rFonts w:hint="eastAsia" w:ascii="黑体" w:hAnsi="Times New Roman" w:eastAsia="黑体" w:cs="Times New Roman"/>
          <w:kern w:val="2"/>
          <w:sz w:val="32"/>
          <w:szCs w:val="32"/>
          <w:lang w:val="en-US" w:eastAsia="zh-CN" w:bidi="ar-SA"/>
        </w:rPr>
        <w:t>、国有资本经营预算支出情况说明</w:t>
      </w:r>
    </w:p>
    <w:p w14:paraId="7164BA70">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2025年国有资本经营预算支出共0.00万元，较202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0.00万元，增加0.00万元，增长0%，主要原因是无国有资本经营预算支出项目。</w:t>
      </w:r>
    </w:p>
    <w:p w14:paraId="6B5F7E56">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十、其他重要事项情况说明</w:t>
      </w:r>
    </w:p>
    <w:p w14:paraId="1B160EBE">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 w:bidi="ar-SA"/>
          <w:woUserID w:val="1"/>
        </w:rPr>
      </w:pPr>
      <w:r>
        <w:rPr>
          <w:rFonts w:hint="eastAsia" w:ascii="仿宋_GB2312" w:hAnsi="宋体" w:eastAsia="仿宋_GB2312" w:cs="Times New Roman"/>
          <w:color w:val="000000"/>
          <w:kern w:val="2"/>
          <w:sz w:val="32"/>
          <w:szCs w:val="32"/>
          <w:highlight w:val="none"/>
          <w:u w:val="none"/>
          <w:lang w:val="en-US" w:eastAsia="zh-CN" w:bidi="ar-SA"/>
        </w:rPr>
        <w:t>（一）</w:t>
      </w:r>
      <w:r>
        <w:rPr>
          <w:rFonts w:hint="eastAsia" w:ascii="仿宋_GB2312" w:eastAsia="仿宋_GB2312" w:cs="Times New Roman"/>
          <w:color w:val="000000"/>
          <w:kern w:val="2"/>
          <w:sz w:val="32"/>
          <w:szCs w:val="32"/>
          <w:highlight w:val="none"/>
          <w:u w:val="none"/>
          <w:lang w:val="en-US" w:eastAsia="zh" w:bidi="ar-SA"/>
          <w:woUserID w:val="1"/>
        </w:rPr>
        <w:t>机关运行经费安排情况说明</w:t>
      </w:r>
      <w:bookmarkStart w:id="45" w:name="_GoBack"/>
      <w:bookmarkEnd w:id="45"/>
    </w:p>
    <w:p w14:paraId="011FD2C5">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2025</w:t>
      </w:r>
      <w:r>
        <w:rPr>
          <w:rFonts w:ascii="仿宋_GB2312" w:hAnsi="仿宋_GB2312" w:eastAsia="仿宋_GB2312" w:cs="仿宋_GB2312"/>
          <w:color w:val="000000"/>
          <w:sz w:val="32"/>
          <w:u w:color="auto"/>
        </w:rPr>
        <w:t>年本部门机关运行经费预算398.34万元，较202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395.83万元，增加2.51万元，增长0.63%，主要原因是：较上年大致持平。</w:t>
      </w:r>
    </w:p>
    <w:p w14:paraId="1219EECD">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（二）政府采购预算安排情况说明</w:t>
      </w:r>
    </w:p>
    <w:p w14:paraId="74A2BCB4">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年政府采购预算总金额240万元。其中：货物类采购165万元、工程类采购0万元、服务类采购75万元。主要用于：日常办公办案、公车运行保障</w:t>
      </w:r>
    </w:p>
    <w:p w14:paraId="6E8F663F">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（三）国有资产占用情况说明</w:t>
      </w:r>
    </w:p>
    <w:p w14:paraId="13D27D10">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截至202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年12月31日，本部门共有车辆20辆，其中，应急机要通信用车0辆、一般执法执勤用车13辆、特种专业技术用车7辆、其他用车0辆，单位价值200万元以上大型设备0台（套）。</w:t>
      </w:r>
    </w:p>
    <w:p w14:paraId="1942BD4D">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（四）预算绩效目标情况说明</w:t>
      </w:r>
    </w:p>
    <w:p w14:paraId="7DA19CF5">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年所有项目支出全面实施绩效目标管理，涉及项目6个，预算资金240万元。绩效目标情况详见报表（日常运转类项目、工资类人员经费项目和涉密项目等除外）。</w:t>
      </w:r>
    </w:p>
    <w:p w14:paraId="7EFAD8AC">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2.重点项目预算绩效目标说明。</w:t>
      </w:r>
    </w:p>
    <w:p w14:paraId="7DC1B082">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仿宋_GB2312" w:asciiTheme="minorEastAsia" w:hAnsiTheme="minorEastAsia" w:cstheme="minorEastAsia"/>
          <w:sz w:val="32"/>
          <w:szCs w:val="32"/>
          <w:highlight w:val="none"/>
          <w:lang w:val="en-US" w:eastAsia="zh"/>
          <w:woUserID w:val="1"/>
        </w:rPr>
      </w:pPr>
      <w:r>
        <w:rPr>
          <w:rFonts w:hint="eastAsia" w:ascii="仿宋_GB2312" w:hAnsi="宋体" w:eastAsia="仿宋_GB2312" w:cs="Times New Roman"/>
          <w:color w:val="000000"/>
          <w:kern w:val="2"/>
          <w:sz w:val="32"/>
          <w:szCs w:val="32"/>
          <w:highlight w:val="none"/>
          <w:u w:val="none"/>
          <w:lang w:val="en-US" w:eastAsia="zh-CN" w:bidi="ar-SA"/>
        </w:rPr>
        <w:t>重点项目：综合办案费（非税），预算资金100万元，2025年度绩效目标为：依法审判法律规定由中级人民法院管辖和其认为应当由自己审判的刑事、民事、行政等第一审案件。依法审判法律规定由中级人民法院审理的刑事、民事、行政等第二审案件。设1条数量指标：办理案件数量≥400件；设1条质量指标：结案率大于等于60%；设1条时效指标：完成时限年内完成；设1条成本指标：平均个案办案经费成本≤2500元；设1条社会效益指标：案件审判效率较高；设1条满意度指标：群众满意度较高</w:t>
      </w:r>
      <w:r>
        <w:rPr>
          <w:rFonts w:hint="eastAsia" w:ascii="仿宋_GB2312" w:eastAsia="仿宋_GB2312" w:cs="Times New Roman"/>
          <w:color w:val="000000"/>
          <w:kern w:val="2"/>
          <w:sz w:val="32"/>
          <w:szCs w:val="32"/>
          <w:highlight w:val="none"/>
          <w:u w:val="none"/>
          <w:lang w:val="en-US" w:eastAsia="zh" w:bidi="ar-SA"/>
          <w:woUserID w:val="1"/>
        </w:rPr>
        <w:t>。</w:t>
      </w:r>
    </w:p>
    <w:bookmarkEnd w:id="10"/>
    <w:bookmarkEnd w:id="11"/>
    <w:bookmarkEnd w:id="12"/>
    <w:p w14:paraId="055E6AF1">
      <w:pPr>
        <w:pStyle w:val="13"/>
        <w:keepNext/>
        <w:keepLines/>
        <w:spacing w:after="980"/>
        <w:jc w:val="center"/>
        <w:rPr>
          <w:rFonts w:hint="eastAsia" w:asciiTheme="minorEastAsia" w:hAnsiTheme="minorEastAsia" w:eastAsiaTheme="minorEastAsia" w:cstheme="minorEastAsia"/>
          <w:b/>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广西壮族自治区河池市中级人民法院</w:t>
      </w:r>
      <w:r>
        <w:rPr>
          <w:rFonts w:ascii="黑体" w:hAnsi="黑体" w:eastAsia="黑体" w:cs="黑体"/>
          <w:sz w:val="32"/>
          <w:u w:color="auto"/>
        </w:rPr>
        <w:t>2025年</w:t>
      </w:r>
      <w:r>
        <w:rPr>
          <w:rFonts w:hint="eastAsia" w:ascii="黑体" w:hAnsi="黑体" w:eastAsia="黑体" w:cs="黑体"/>
          <w:b w:val="0"/>
          <w:bCs w:val="0"/>
          <w:sz w:val="32"/>
          <w:szCs w:val="32"/>
        </w:rPr>
        <w:t>部门预算表</w:t>
      </w:r>
    </w:p>
    <w:p w14:paraId="1BDD3AFD">
      <w:pPr>
        <w:pStyle w:val="23"/>
        <w:keepNext/>
        <w:keepLines/>
        <w:spacing w:after="240"/>
        <w:jc w:val="left"/>
        <w:rPr>
          <w:rFonts w:ascii="宋体" w:hAnsi="宋体" w:eastAsia="宋体" w:cs="宋体"/>
          <w:color w:val="000000"/>
          <w:sz w:val="17"/>
          <w:szCs w:val="17"/>
          <w:lang w:val="zh-TW" w:eastAsia="zh-TW" w:bidi="zh-TW"/>
        </w:rPr>
      </w:pPr>
      <w:bookmarkStart w:id="16" w:name="bookmark31"/>
      <w:bookmarkStart w:id="17" w:name="bookmark29"/>
      <w:bookmarkStart w:id="18" w:name="bookmark30"/>
      <w:bookmarkStart w:id="19" w:name="bookmark96"/>
      <w:bookmarkStart w:id="20" w:name="bookmark95"/>
      <w:bookmarkStart w:id="21" w:name="bookmark94"/>
      <w:r>
        <w:rPr>
          <w:rFonts w:hint="eastAsia" w:ascii="宋体" w:hAnsi="宋体" w:eastAsia="宋体" w:cs="宋体"/>
          <w:color w:val="000000"/>
          <w:sz w:val="17"/>
          <w:szCs w:val="17"/>
          <w:lang w:val="en-US" w:eastAsia="zh-CN" w:bidi="zh-TW"/>
        </w:rPr>
        <w:t>表一：</w:t>
      </w:r>
      <w:r>
        <w:rPr>
          <w:rFonts w:hint="eastAsia" w:ascii="宋体" w:hAnsi="宋体" w:eastAsia="宋体" w:cs="宋体"/>
          <w:color w:val="000000"/>
          <w:sz w:val="17"/>
          <w:szCs w:val="17"/>
          <w:lang w:val="zh-TW" w:eastAsia="zh-TW" w:bidi="zh-TW"/>
        </w:rPr>
        <w:t>部门收支总体情况表</w:t>
      </w:r>
    </w:p>
    <w:p w14:paraId="4D63AACB">
      <w:pPr>
        <w:pStyle w:val="23"/>
        <w:keepNext/>
        <w:keepLines/>
        <w:spacing w:after="240"/>
        <w:jc w:val="center"/>
      </w:pPr>
      <w:r>
        <w:rPr>
          <w:rFonts w:hint="eastAsia"/>
          <w:lang w:val="en-US" w:eastAsia="zh-CN"/>
        </w:rPr>
        <w:t>部门</w:t>
      </w:r>
      <w:r>
        <w:t>收支总体情况表</w:t>
      </w:r>
      <w:bookmarkEnd w:id="16"/>
      <w:bookmarkEnd w:id="17"/>
      <w:bookmarkEnd w:id="18"/>
    </w:p>
    <w:tbl>
      <w:tblPr>
        <w:tblStyle w:val="6"/>
        <w:tblW w:w="0" w:type="auto"/>
        <w:tblInd w:w="0" w:type="dxa"/>
        <w:tblLayout w:type="fixed"/>
        <w:tblCellMar>
          <w:top w:w="0" w:type="dxa"/>
          <w:left w:w="10" w:type="dxa"/>
          <w:bottom w:w="0" w:type="dxa"/>
          <w:right w:w="10" w:type="dxa"/>
        </w:tblCellMar>
      </w:tblPr>
      <w:tblGrid>
        <w:gridCol w:w="3339"/>
        <w:gridCol w:w="3760"/>
        <w:gridCol w:w="3542"/>
        <w:gridCol w:w="3571"/>
      </w:tblGrid>
      <w:tr w14:paraId="6EAF64E0">
        <w:tblPrEx>
          <w:tblCellMar>
            <w:top w:w="0" w:type="dxa"/>
            <w:left w:w="10" w:type="dxa"/>
            <w:bottom w:w="0" w:type="dxa"/>
            <w:right w:w="10" w:type="dxa"/>
          </w:tblCellMar>
        </w:tblPrEx>
        <w:trPr>
          <w:cantSplit/>
          <w:trHeight w:val="331" w:hRule="exact"/>
        </w:trPr>
        <w:tc>
          <w:tcPr>
            <w:tcW w:w="10641" w:type="dxa"/>
            <w:gridSpan w:val="3"/>
            <w:tcBorders>
              <w:bottom w:val="single" w:color="auto" w:sz="4" w:space="0"/>
            </w:tcBorders>
            <w:shd w:val="clear" w:color="auto" w:fill="FFFFFF"/>
          </w:tcPr>
          <w:p w14:paraId="65ACE642">
            <w:pPr>
              <w:pStyle w:val="25"/>
              <w:spacing w:line="240" w:lineRule="auto"/>
              <w:ind w:firstLine="0"/>
              <w:jc w:val="left"/>
              <w:rPr>
                <w:sz w:val="17"/>
                <w:szCs w:val="17"/>
              </w:rPr>
            </w:pPr>
            <w:r>
              <w:rPr>
                <w:sz w:val="17"/>
                <w:szCs w:val="17"/>
              </w:rPr>
              <w:t>单位名称：</w:t>
            </w:r>
            <w:r>
              <w:rPr>
                <w:rFonts w:hint="eastAsia"/>
                <w:sz w:val="17"/>
                <w:szCs w:val="17"/>
                <w:lang w:eastAsia="zh-CN"/>
              </w:rPr>
              <w:t>广西壮族自治区河池市中级人民法院</w:t>
            </w:r>
          </w:p>
        </w:tc>
        <w:tc>
          <w:tcPr>
            <w:tcW w:w="3571" w:type="dxa"/>
            <w:tcBorders>
              <w:bottom w:val="single" w:color="auto" w:sz="4" w:space="0"/>
            </w:tcBorders>
            <w:shd w:val="clear" w:color="auto" w:fill="FFFFFF"/>
          </w:tcPr>
          <w:p w14:paraId="4193A558">
            <w:pPr>
              <w:pStyle w:val="25"/>
              <w:spacing w:line="240" w:lineRule="auto"/>
              <w:ind w:firstLine="2380" w:firstLineChars="1400"/>
              <w:jc w:val="left"/>
              <w:rPr>
                <w:sz w:val="17"/>
                <w:szCs w:val="17"/>
              </w:rPr>
            </w:pPr>
            <w:r>
              <w:rPr>
                <w:sz w:val="17"/>
                <w:szCs w:val="17"/>
              </w:rPr>
              <w:t>单位：万元</w:t>
            </w:r>
          </w:p>
        </w:tc>
      </w:tr>
      <w:tr w14:paraId="489E04E6">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B38301">
            <w:pPr>
              <w:pStyle w:val="25"/>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6E109E">
            <w:pPr>
              <w:pStyle w:val="25"/>
              <w:spacing w:line="240" w:lineRule="auto"/>
              <w:ind w:right="340" w:firstLine="2890" w:firstLineChars="1700"/>
              <w:jc w:val="both"/>
              <w:rPr>
                <w:sz w:val="17"/>
                <w:szCs w:val="17"/>
              </w:rPr>
            </w:pPr>
            <w:r>
              <w:rPr>
                <w:sz w:val="17"/>
                <w:szCs w:val="17"/>
              </w:rPr>
              <w:t>支出</w:t>
            </w:r>
          </w:p>
        </w:tc>
      </w:tr>
      <w:tr w14:paraId="6D29827C">
        <w:tblPrEx>
          <w:tblCellMar>
            <w:top w:w="0" w:type="dxa"/>
            <w:left w:w="10" w:type="dxa"/>
            <w:bottom w:w="0" w:type="dxa"/>
            <w:right w:w="10" w:type="dxa"/>
          </w:tblCellMar>
        </w:tblPrEx>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E343C67">
            <w:pPr>
              <w:pStyle w:val="25"/>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C828A8E">
            <w:pPr>
              <w:pStyle w:val="25"/>
              <w:spacing w:line="240" w:lineRule="auto"/>
              <w:ind w:firstLine="0"/>
              <w:jc w:val="center"/>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F0415B5">
            <w:pPr>
              <w:pStyle w:val="25"/>
              <w:tabs>
                <w:tab w:val="left" w:pos="894"/>
              </w:tabs>
              <w:spacing w:line="240" w:lineRule="auto"/>
              <w:jc w:val="center"/>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8AC6ADA">
            <w:pPr>
              <w:pStyle w:val="25"/>
              <w:spacing w:line="240" w:lineRule="auto"/>
              <w:ind w:firstLine="0"/>
              <w:jc w:val="center"/>
              <w:rPr>
                <w:sz w:val="17"/>
                <w:szCs w:val="17"/>
              </w:rPr>
            </w:pPr>
            <w:r>
              <w:rPr>
                <w:sz w:val="17"/>
                <w:szCs w:val="17"/>
              </w:rPr>
              <w:t>预算数</w:t>
            </w:r>
          </w:p>
        </w:tc>
      </w:tr>
      <w:tr w14:paraId="505E7EE5">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7F12936">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AD768E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4112.67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511491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A043AEF">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109A165">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357C3C8">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E3EDCD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F7D0B9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D5ECC6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C2835B8">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B4E8167">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654B30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4112.67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C663FE5">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A30596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3BFC3AB">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8675B29">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CEDA86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F4C32F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55F3DD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1407.26</w:t>
            </w:r>
          </w:p>
        </w:tc>
      </w:tr>
      <w:tr w14:paraId="2689DAAA">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35725D6">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AC8B97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B7167F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F021D7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30.15</w:t>
            </w:r>
          </w:p>
        </w:tc>
      </w:tr>
      <w:tr w14:paraId="10A55904">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5EB833C">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FC00FA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821DB7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4D3553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1624.92</w:t>
            </w:r>
          </w:p>
        </w:tc>
      </w:tr>
      <w:tr w14:paraId="1B0C38DB">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D1408EA">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A5FD0D6">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AEE9B8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46DA08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C9692B1">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37BFA25">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BEF64A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07B0A3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896724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595.17</w:t>
            </w:r>
          </w:p>
        </w:tc>
      </w:tr>
      <w:tr w14:paraId="2DC49664">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F02384C">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9E944F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D385122">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5FA8AC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213.95</w:t>
            </w:r>
          </w:p>
        </w:tc>
      </w:tr>
      <w:tr w14:paraId="3F8DF234">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5787BDA">
            <w:pPr>
              <w:pStyle w:val="25"/>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E84C9D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DED8259">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811425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907964B">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91C2F0D">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7FCCFB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E01DCA5">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8FED92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7DA5BFC">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F11641E">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235DBF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6CE3E21">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A54DC9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EDE5E16">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E119105">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CF69F8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606396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062861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8A61986">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B3F0720">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CDE5A8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E20899A">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CA8F57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4DF6014">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20F7573">
            <w:pPr>
              <w:pStyle w:val="25"/>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3EED1E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AEC661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41E08E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2043061">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6ABCCFD">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7B58061">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BD6361A">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54DC9A5">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3D453BF">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54C7256">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B9CAE05">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C4F5B2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5D7A99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90437DF">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E133838">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1EA9C4E">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9CCA219">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F21F1B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B003820">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7BC6B44">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C21714E">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708463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D25807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241.22</w:t>
            </w:r>
          </w:p>
        </w:tc>
      </w:tr>
      <w:tr w14:paraId="5AE3008B">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2099A56">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5F0D93D">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0866B71">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18D43B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46E51F1">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674F699">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D51F786">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1FA4C0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84597D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E9BB764">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5ADF0C2">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261C992">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75044B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32A432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48F1641">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D28C1E6">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188311F">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6D08E4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F897F0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54DA78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8E2427F">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99152FC">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B1B60AE">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A2B9A9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A5C9B38">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FA231EC">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FAC27CF">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8D5F462">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AEC1E9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DC7CF0A">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82A46FF">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0DCAC09">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CBCFB0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13CB4D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ABFD645">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8896AB9">
            <w:pPr>
              <w:pStyle w:val="25"/>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A76777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4112.67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00E6B7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3493FD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4112.67</w:t>
            </w:r>
          </w:p>
        </w:tc>
      </w:tr>
      <w:tr w14:paraId="0A1F1E32">
        <w:tblPrEx>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17CDBB7">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2FF08B6">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8A7BF3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37C6DC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6B93222">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9CE5507">
            <w:pPr>
              <w:pStyle w:val="25"/>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C25B5C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4112.67</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694C369">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4C9FD9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4112.67</w:t>
            </w:r>
          </w:p>
        </w:tc>
      </w:tr>
    </w:tbl>
    <w:p w14:paraId="2DCCEA04">
      <w:pPr>
        <w:pStyle w:val="27"/>
        <w:ind w:left="101"/>
        <w:jc w:val="left"/>
      </w:pPr>
      <w:r>
        <w:t>注：报表金额单位转换时可能存在四舍五入尾数误差。</w:t>
      </w:r>
    </w:p>
    <w:p w14:paraId="646F98C2">
      <w:pPr>
        <w:rPr>
          <w:lang w:eastAsia="zh-CN"/>
        </w:rPr>
      </w:pPr>
      <w:r>
        <w:br w:type="page"/>
      </w:r>
    </w:p>
    <w:p w14:paraId="074DB732">
      <w:pPr>
        <w:pStyle w:val="23"/>
        <w:keepNext/>
        <w:keepLines/>
        <w:spacing w:after="240"/>
        <w:jc w:val="left"/>
        <w:rPr>
          <w:rFonts w:ascii="宋体" w:hAnsi="宋体" w:eastAsia="宋体" w:cs="宋体"/>
          <w:color w:val="000000"/>
          <w:sz w:val="17"/>
          <w:szCs w:val="17"/>
          <w:lang w:val="zh-TW" w:eastAsia="zh-TW" w:bidi="zh-TW"/>
        </w:rPr>
      </w:pPr>
      <w:bookmarkStart w:id="22" w:name="OLE_LINK12"/>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二</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部门收入总体情况表</w:t>
      </w:r>
      <w:bookmarkEnd w:id="22"/>
    </w:p>
    <w:p w14:paraId="16FD6850">
      <w:pPr>
        <w:tabs>
          <w:tab w:val="left" w:pos="859"/>
        </w:tabs>
        <w:jc w:val="left"/>
        <w:rPr>
          <w:rFonts w:hint="eastAsia" w:eastAsia="宋体"/>
          <w:lang w:val="en-US" w:eastAsia="zh-CN"/>
        </w:rPr>
      </w:pPr>
    </w:p>
    <w:p w14:paraId="6C5AB4D8">
      <w:pPr>
        <w:tabs>
          <w:tab w:val="left" w:pos="859"/>
        </w:tabs>
        <w:jc w:val="center"/>
        <w:rPr>
          <w:rFonts w:hint="eastAsia" w:eastAsia="宋体"/>
          <w:lang w:val="en-US" w:eastAsia="zh-CN"/>
        </w:rPr>
      </w:pPr>
      <w:r>
        <w:rPr>
          <w:rFonts w:hint="eastAsia" w:eastAsia="宋体"/>
          <w:lang w:val="en-US" w:eastAsia="zh-CN"/>
        </w:rPr>
        <w:t>部门收入总体情况表</w:t>
      </w:r>
    </w:p>
    <w:p w14:paraId="4F8B9BFA">
      <w:pPr>
        <w:tabs>
          <w:tab w:val="left" w:pos="859"/>
        </w:tabs>
        <w:jc w:val="center"/>
        <w:rPr>
          <w:rFonts w:hint="eastAsia" w:eastAsia="宋体"/>
          <w:lang w:val="en-US" w:eastAsia="zh-CN"/>
        </w:rPr>
      </w:pPr>
    </w:p>
    <w:tbl>
      <w:tblPr>
        <w:tblStyle w:val="7"/>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188"/>
        <w:gridCol w:w="918"/>
        <w:gridCol w:w="859"/>
        <w:gridCol w:w="844"/>
        <w:gridCol w:w="899"/>
        <w:gridCol w:w="918"/>
        <w:gridCol w:w="1001"/>
        <w:gridCol w:w="910"/>
        <w:gridCol w:w="853"/>
        <w:gridCol w:w="939"/>
        <w:gridCol w:w="796"/>
        <w:gridCol w:w="886"/>
        <w:gridCol w:w="129"/>
        <w:gridCol w:w="869"/>
        <w:gridCol w:w="931"/>
      </w:tblGrid>
      <w:tr w14:paraId="1446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530" w:type="dxa"/>
            <w:gridSpan w:val="13"/>
            <w:tcBorders>
              <w:top w:val="nil"/>
              <w:left w:val="nil"/>
              <w:right w:val="nil"/>
            </w:tcBorders>
          </w:tcPr>
          <w:p w14:paraId="78FA7DDE">
            <w:pPr>
              <w:pStyle w:val="27"/>
              <w:jc w:val="both"/>
              <w:rPr>
                <w:rFonts w:hint="eastAsia"/>
                <w:lang w:val="en-US" w:eastAsia="zh-CN"/>
              </w:rPr>
            </w:pPr>
            <w:r>
              <w:rPr>
                <w:sz w:val="17"/>
                <w:szCs w:val="17"/>
              </w:rPr>
              <w:t>单位名称：</w:t>
            </w:r>
            <w:r>
              <w:rPr>
                <w:rFonts w:hint="eastAsia"/>
                <w:sz w:val="17"/>
                <w:szCs w:val="17"/>
                <w:lang w:eastAsia="zh-CN"/>
              </w:rPr>
              <w:t>广西壮族自治区河池市中级人民法院</w:t>
            </w:r>
          </w:p>
        </w:tc>
        <w:tc>
          <w:tcPr>
            <w:tcW w:w="1929" w:type="dxa"/>
            <w:gridSpan w:val="3"/>
            <w:tcBorders>
              <w:top w:val="nil"/>
              <w:left w:val="nil"/>
              <w:right w:val="nil"/>
            </w:tcBorders>
          </w:tcPr>
          <w:p w14:paraId="57C05724">
            <w:pPr>
              <w:pStyle w:val="27"/>
              <w:ind w:firstLine="340" w:firstLineChars="200"/>
              <w:jc w:val="left"/>
              <w:rPr>
                <w:rFonts w:hint="eastAsia"/>
                <w:lang w:val="en-US" w:eastAsia="zh-CN"/>
              </w:rPr>
            </w:pPr>
            <w:r>
              <w:rPr>
                <w:sz w:val="17"/>
                <w:szCs w:val="17"/>
              </w:rPr>
              <w:t>单位：万元</w:t>
            </w:r>
          </w:p>
        </w:tc>
      </w:tr>
      <w:tr w14:paraId="18A9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9" w:hRule="atLeast"/>
        </w:trPr>
        <w:tc>
          <w:tcPr>
            <w:tcW w:w="1519" w:type="dxa"/>
            <w:vMerge w:val="restart"/>
            <w:vAlign w:val="center"/>
          </w:tcPr>
          <w:p w14:paraId="1E5ACB80">
            <w:pPr>
              <w:tabs>
                <w:tab w:val="left" w:pos="859"/>
              </w:tabs>
              <w:jc w:val="center"/>
              <w:rPr>
                <w:rFonts w:hint="eastAsia" w:eastAsia="宋体"/>
                <w:vertAlign w:val="baseline"/>
                <w:lang w:val="en-US" w:eastAsia="zh-CN"/>
              </w:rPr>
            </w:pPr>
            <w:r>
              <w:rPr>
                <w:sz w:val="17"/>
                <w:szCs w:val="17"/>
              </w:rPr>
              <w:t>部门（单位）代码</w:t>
            </w:r>
          </w:p>
        </w:tc>
        <w:tc>
          <w:tcPr>
            <w:tcW w:w="1188" w:type="dxa"/>
            <w:vMerge w:val="restart"/>
            <w:vAlign w:val="center"/>
          </w:tcPr>
          <w:p w14:paraId="10175CD2">
            <w:pPr>
              <w:tabs>
                <w:tab w:val="left" w:pos="859"/>
              </w:tabs>
              <w:jc w:val="center"/>
              <w:rPr>
                <w:rFonts w:hint="eastAsia" w:eastAsia="宋体"/>
                <w:vertAlign w:val="baseline"/>
                <w:lang w:val="en-US" w:eastAsia="zh-CN"/>
              </w:rPr>
            </w:pPr>
            <w:r>
              <w:rPr>
                <w:sz w:val="17"/>
                <w:szCs w:val="17"/>
              </w:rPr>
              <w:t>部门（单位）名称</w:t>
            </w:r>
          </w:p>
        </w:tc>
        <w:tc>
          <w:tcPr>
            <w:tcW w:w="918" w:type="dxa"/>
            <w:vMerge w:val="restart"/>
            <w:vAlign w:val="center"/>
          </w:tcPr>
          <w:p w14:paraId="3942CC4E">
            <w:pPr>
              <w:pStyle w:val="25"/>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431" w:type="dxa"/>
            <w:gridSpan w:val="6"/>
          </w:tcPr>
          <w:p w14:paraId="34A75C6C">
            <w:pPr>
              <w:tabs>
                <w:tab w:val="left" w:pos="859"/>
              </w:tabs>
              <w:jc w:val="center"/>
              <w:rPr>
                <w:rFonts w:hint="eastAsia" w:eastAsia="宋体"/>
                <w:vertAlign w:val="baseline"/>
                <w:lang w:val="en-US" w:eastAsia="zh-CN"/>
              </w:rPr>
            </w:pPr>
            <w:r>
              <w:rPr>
                <w:sz w:val="17"/>
                <w:szCs w:val="17"/>
              </w:rPr>
              <w:t>本年收入</w:t>
            </w:r>
          </w:p>
        </w:tc>
        <w:tc>
          <w:tcPr>
            <w:tcW w:w="5403" w:type="dxa"/>
            <w:gridSpan w:val="7"/>
          </w:tcPr>
          <w:p w14:paraId="2C95A434">
            <w:pPr>
              <w:tabs>
                <w:tab w:val="left" w:pos="859"/>
              </w:tabs>
              <w:jc w:val="center"/>
              <w:rPr>
                <w:rFonts w:hint="eastAsia" w:eastAsia="宋体"/>
                <w:vertAlign w:val="baseline"/>
                <w:lang w:val="en-US" w:eastAsia="zh-CN"/>
              </w:rPr>
            </w:pPr>
            <w:r>
              <w:rPr>
                <w:sz w:val="17"/>
                <w:szCs w:val="17"/>
              </w:rPr>
              <w:t>上年结转结余</w:t>
            </w:r>
          </w:p>
        </w:tc>
      </w:tr>
      <w:tr w14:paraId="0511C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519" w:type="dxa"/>
            <w:vMerge w:val="continue"/>
          </w:tcPr>
          <w:p w14:paraId="7AB83221">
            <w:pPr>
              <w:tabs>
                <w:tab w:val="left" w:pos="859"/>
              </w:tabs>
              <w:jc w:val="center"/>
              <w:rPr>
                <w:rFonts w:hint="eastAsia" w:eastAsia="宋体"/>
                <w:vertAlign w:val="baseline"/>
                <w:lang w:val="en-US" w:eastAsia="zh-CN"/>
              </w:rPr>
            </w:pPr>
          </w:p>
        </w:tc>
        <w:tc>
          <w:tcPr>
            <w:tcW w:w="1188" w:type="dxa"/>
            <w:vMerge w:val="continue"/>
          </w:tcPr>
          <w:p w14:paraId="3B681040">
            <w:pPr>
              <w:tabs>
                <w:tab w:val="left" w:pos="859"/>
              </w:tabs>
              <w:jc w:val="center"/>
              <w:rPr>
                <w:rFonts w:hint="eastAsia" w:eastAsia="宋体"/>
                <w:vertAlign w:val="baseline"/>
                <w:lang w:val="en-US" w:eastAsia="zh-CN"/>
              </w:rPr>
            </w:pPr>
          </w:p>
        </w:tc>
        <w:tc>
          <w:tcPr>
            <w:tcW w:w="918" w:type="dxa"/>
            <w:vMerge w:val="continue"/>
            <w:vAlign w:val="center"/>
          </w:tcPr>
          <w:p w14:paraId="207F4928">
            <w:pPr>
              <w:pStyle w:val="25"/>
              <w:spacing w:line="240" w:lineRule="auto"/>
              <w:ind w:firstLine="300" w:firstLineChars="0"/>
              <w:jc w:val="center"/>
              <w:rPr>
                <w:rFonts w:hint="eastAsia" w:eastAsia="宋体"/>
                <w:vertAlign w:val="baseline"/>
                <w:lang w:val="en-US" w:eastAsia="zh-CN"/>
              </w:rPr>
            </w:pPr>
          </w:p>
        </w:tc>
        <w:tc>
          <w:tcPr>
            <w:tcW w:w="859" w:type="dxa"/>
            <w:vAlign w:val="center"/>
          </w:tcPr>
          <w:p w14:paraId="77D03DD2">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844" w:type="dxa"/>
            <w:vAlign w:val="center"/>
          </w:tcPr>
          <w:p w14:paraId="4C0BFB98">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899" w:type="dxa"/>
            <w:vAlign w:val="center"/>
          </w:tcPr>
          <w:p w14:paraId="1331706F">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18" w:type="dxa"/>
            <w:vAlign w:val="center"/>
          </w:tcPr>
          <w:p w14:paraId="10B3E5EA">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01" w:type="dxa"/>
          </w:tcPr>
          <w:p w14:paraId="2206263D">
            <w:pPr>
              <w:pStyle w:val="25"/>
              <w:spacing w:line="312" w:lineRule="exact"/>
              <w:ind w:firstLine="0"/>
              <w:jc w:val="center"/>
              <w:rPr>
                <w:sz w:val="17"/>
                <w:szCs w:val="17"/>
              </w:rPr>
            </w:pPr>
            <w:r>
              <w:rPr>
                <w:sz w:val="17"/>
                <w:szCs w:val="17"/>
              </w:rPr>
              <w:t>财政专户管理资金</w:t>
            </w:r>
          </w:p>
          <w:p w14:paraId="230A7142">
            <w:pPr>
              <w:pStyle w:val="25"/>
              <w:spacing w:line="312" w:lineRule="exact"/>
              <w:ind w:firstLine="0" w:firstLineChars="0"/>
              <w:jc w:val="center"/>
              <w:rPr>
                <w:rFonts w:hint="eastAsia" w:eastAsia="宋体"/>
                <w:vertAlign w:val="baseline"/>
                <w:lang w:val="en-US" w:eastAsia="zh-CN"/>
              </w:rPr>
            </w:pPr>
            <w:r>
              <w:rPr>
                <w:sz w:val="17"/>
                <w:szCs w:val="17"/>
              </w:rPr>
              <w:t>收入</w:t>
            </w:r>
          </w:p>
        </w:tc>
        <w:tc>
          <w:tcPr>
            <w:tcW w:w="910" w:type="dxa"/>
            <w:vAlign w:val="center"/>
          </w:tcPr>
          <w:p w14:paraId="156D5504">
            <w:pPr>
              <w:pStyle w:val="25"/>
              <w:spacing w:line="240" w:lineRule="auto"/>
              <w:ind w:firstLine="0" w:firstLineChars="0"/>
              <w:jc w:val="center"/>
              <w:rPr>
                <w:rFonts w:hint="eastAsia" w:eastAsia="宋体"/>
                <w:vertAlign w:val="baseline"/>
                <w:lang w:val="en-US" w:eastAsia="zh-CN"/>
              </w:rPr>
            </w:pPr>
            <w:r>
              <w:rPr>
                <w:sz w:val="17"/>
                <w:szCs w:val="17"/>
              </w:rPr>
              <w:t>单位资金</w:t>
            </w:r>
          </w:p>
        </w:tc>
        <w:tc>
          <w:tcPr>
            <w:tcW w:w="853" w:type="dxa"/>
            <w:vAlign w:val="center"/>
          </w:tcPr>
          <w:p w14:paraId="53372676">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939" w:type="dxa"/>
            <w:vAlign w:val="center"/>
          </w:tcPr>
          <w:p w14:paraId="3F0C357F">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796" w:type="dxa"/>
            <w:vAlign w:val="center"/>
          </w:tcPr>
          <w:p w14:paraId="1BFA18D9">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15" w:type="dxa"/>
            <w:gridSpan w:val="2"/>
            <w:vAlign w:val="center"/>
          </w:tcPr>
          <w:p w14:paraId="216A9244">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869" w:type="dxa"/>
          </w:tcPr>
          <w:p w14:paraId="0E7D642D">
            <w:pPr>
              <w:pStyle w:val="25"/>
              <w:spacing w:line="312" w:lineRule="exact"/>
              <w:ind w:firstLine="0"/>
              <w:jc w:val="center"/>
              <w:rPr>
                <w:sz w:val="17"/>
                <w:szCs w:val="17"/>
              </w:rPr>
            </w:pPr>
            <w:r>
              <w:rPr>
                <w:sz w:val="17"/>
                <w:szCs w:val="17"/>
              </w:rPr>
              <w:t>财政专户管理资金</w:t>
            </w:r>
          </w:p>
          <w:p w14:paraId="35A36212">
            <w:pPr>
              <w:pStyle w:val="25"/>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31" w:type="dxa"/>
            <w:vAlign w:val="center"/>
          </w:tcPr>
          <w:p w14:paraId="0DF0C9B2">
            <w:pPr>
              <w:pStyle w:val="25"/>
              <w:spacing w:line="240" w:lineRule="auto"/>
              <w:ind w:firstLine="140" w:firstLineChars="0"/>
              <w:jc w:val="center"/>
              <w:rPr>
                <w:rFonts w:hint="eastAsia" w:eastAsia="宋体"/>
                <w:vertAlign w:val="baseline"/>
                <w:lang w:val="en-US" w:eastAsia="zh-CN"/>
              </w:rPr>
            </w:pPr>
            <w:r>
              <w:rPr>
                <w:sz w:val="17"/>
                <w:szCs w:val="17"/>
              </w:rPr>
              <w:t>单位资金</w:t>
            </w:r>
          </w:p>
        </w:tc>
      </w:tr>
      <w:tr w14:paraId="4696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trPr>
        <w:tc>
          <w:tcPr>
            <w:tcW w:w="1519" w:type="dxa"/>
          </w:tcPr>
          <w:p w14:paraId="7FC61FA7">
            <w:pPr>
              <w:tabs>
                <w:tab w:val="left" w:pos="859"/>
              </w:tabs>
              <w:jc w:val="both"/>
              <w:rPr>
                <w:rFonts w:hint="eastAsia" w:eastAsia="宋体"/>
                <w:vertAlign w:val="baseline"/>
                <w:lang w:val="en-US" w:eastAsia="zh-CN"/>
              </w:rPr>
            </w:pPr>
          </w:p>
        </w:tc>
        <w:tc>
          <w:tcPr>
            <w:tcW w:w="1188" w:type="dxa"/>
          </w:tcPr>
          <w:p w14:paraId="15723C35">
            <w:pPr>
              <w:tabs>
                <w:tab w:val="left" w:pos="859"/>
              </w:tabs>
              <w:jc w:val="both"/>
              <w:rPr>
                <w:rFonts w:hint="eastAsia" w:eastAsia="宋体"/>
                <w:vertAlign w:val="baseline"/>
                <w:lang w:val="en-US" w:eastAsia="zh-CN"/>
              </w:rPr>
            </w:pPr>
          </w:p>
        </w:tc>
        <w:tc>
          <w:tcPr>
            <w:tcW w:w="918" w:type="dxa"/>
            <w:vAlign w:val="center"/>
          </w:tcPr>
          <w:p w14:paraId="601647E3">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859" w:type="dxa"/>
            <w:vAlign w:val="center"/>
          </w:tcPr>
          <w:p w14:paraId="5FAC079B">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844" w:type="dxa"/>
            <w:vAlign w:val="center"/>
          </w:tcPr>
          <w:p w14:paraId="5F53FB6B">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899" w:type="dxa"/>
            <w:vAlign w:val="center"/>
          </w:tcPr>
          <w:p w14:paraId="774A9B6C">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18" w:type="dxa"/>
            <w:vAlign w:val="center"/>
          </w:tcPr>
          <w:p w14:paraId="02CBE7BA">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01" w:type="dxa"/>
            <w:vAlign w:val="center"/>
          </w:tcPr>
          <w:p w14:paraId="1D58DF59">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10" w:type="dxa"/>
            <w:vAlign w:val="center"/>
          </w:tcPr>
          <w:p w14:paraId="1A5AC747">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853" w:type="dxa"/>
            <w:vAlign w:val="center"/>
          </w:tcPr>
          <w:p w14:paraId="7C569130">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939" w:type="dxa"/>
            <w:vAlign w:val="center"/>
          </w:tcPr>
          <w:p w14:paraId="0F11928C">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796" w:type="dxa"/>
            <w:vAlign w:val="center"/>
          </w:tcPr>
          <w:p w14:paraId="0A4A8B4C">
            <w:pPr>
              <w:pStyle w:val="25"/>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15" w:type="dxa"/>
            <w:gridSpan w:val="2"/>
            <w:vAlign w:val="center"/>
          </w:tcPr>
          <w:p w14:paraId="75263F82">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69" w:type="dxa"/>
            <w:vAlign w:val="center"/>
          </w:tcPr>
          <w:p w14:paraId="3D6288A9">
            <w:pPr>
              <w:pStyle w:val="25"/>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31" w:type="dxa"/>
            <w:vAlign w:val="center"/>
          </w:tcPr>
          <w:p w14:paraId="197EB971">
            <w:pPr>
              <w:pStyle w:val="25"/>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14:paraId="465C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519" w:type="dxa"/>
            <w:vAlign w:val="center"/>
          </w:tcPr>
          <w:p w14:paraId="58007BB1">
            <w:pPr>
              <w:pStyle w:val="25"/>
              <w:spacing w:line="240" w:lineRule="auto"/>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118001</w:t>
            </w:r>
          </w:p>
        </w:tc>
        <w:tc>
          <w:tcPr>
            <w:tcW w:w="1188" w:type="dxa"/>
          </w:tcPr>
          <w:p w14:paraId="35F60CBC">
            <w:pPr>
              <w:pStyle w:val="25"/>
              <w:spacing w:line="326" w:lineRule="exact"/>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广西壮族自治区河池市中级人民法院</w:t>
            </w:r>
          </w:p>
        </w:tc>
        <w:tc>
          <w:tcPr>
            <w:tcW w:w="918" w:type="dxa"/>
            <w:vAlign w:val="center"/>
          </w:tcPr>
          <w:p w14:paraId="36091445">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4112.67</w:t>
            </w:r>
          </w:p>
        </w:tc>
        <w:tc>
          <w:tcPr>
            <w:tcW w:w="859" w:type="dxa"/>
            <w:vAlign w:val="center"/>
          </w:tcPr>
          <w:p w14:paraId="5CE8C8CD">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4112.67</w:t>
            </w:r>
          </w:p>
        </w:tc>
        <w:tc>
          <w:tcPr>
            <w:tcW w:w="844" w:type="dxa"/>
            <w:vAlign w:val="center"/>
          </w:tcPr>
          <w:p w14:paraId="080AF0F1">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4112.67</w:t>
            </w:r>
          </w:p>
        </w:tc>
        <w:tc>
          <w:tcPr>
            <w:tcW w:w="899" w:type="dxa"/>
            <w:vAlign w:val="center"/>
          </w:tcPr>
          <w:p w14:paraId="45823154">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8" w:type="dxa"/>
            <w:vAlign w:val="center"/>
          </w:tcPr>
          <w:p w14:paraId="4DA1EF21">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01" w:type="dxa"/>
            <w:vAlign w:val="center"/>
          </w:tcPr>
          <w:p w14:paraId="38393426">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0" w:type="dxa"/>
            <w:vAlign w:val="center"/>
          </w:tcPr>
          <w:p w14:paraId="0B28576A">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53" w:type="dxa"/>
            <w:vAlign w:val="center"/>
          </w:tcPr>
          <w:p w14:paraId="488A3F32">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9" w:type="dxa"/>
            <w:vAlign w:val="center"/>
          </w:tcPr>
          <w:p w14:paraId="146D1E71">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796" w:type="dxa"/>
            <w:vAlign w:val="center"/>
          </w:tcPr>
          <w:p w14:paraId="323FF592">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15" w:type="dxa"/>
            <w:gridSpan w:val="2"/>
            <w:vAlign w:val="center"/>
          </w:tcPr>
          <w:p w14:paraId="34E73676">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69" w:type="dxa"/>
            <w:vAlign w:val="center"/>
          </w:tcPr>
          <w:p w14:paraId="0D94DEF7">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1" w:type="dxa"/>
            <w:vAlign w:val="center"/>
          </w:tcPr>
          <w:p w14:paraId="73B7E6C3">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r>
      <w:tr w14:paraId="1FFF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9" w:hRule="atLeast"/>
        </w:trPr>
        <w:tc>
          <w:tcPr>
            <w:tcW w:w="14459" w:type="dxa"/>
            <w:gridSpan w:val="16"/>
            <w:tcBorders>
              <w:left w:val="nil"/>
              <w:bottom w:val="nil"/>
              <w:right w:val="nil"/>
            </w:tcBorders>
          </w:tcPr>
          <w:p w14:paraId="0392F611">
            <w:pPr>
              <w:pStyle w:val="27"/>
              <w:jc w:val="left"/>
              <w:rPr>
                <w:rFonts w:hint="eastAsia" w:eastAsia="宋体"/>
                <w:sz w:val="17"/>
                <w:szCs w:val="17"/>
                <w:vertAlign w:val="baseline"/>
                <w:lang w:val="en-US" w:eastAsia="zh-CN"/>
              </w:rPr>
            </w:pPr>
            <w:r>
              <w:rPr>
                <w:sz w:val="17"/>
                <w:szCs w:val="17"/>
              </w:rPr>
              <w:t>注：本报表金额单位转换时可能存在四舍五入尾数误差。</w:t>
            </w:r>
          </w:p>
        </w:tc>
      </w:tr>
    </w:tbl>
    <w:p w14:paraId="464E6567">
      <w:pPr>
        <w:tabs>
          <w:tab w:val="left" w:pos="859"/>
        </w:tabs>
        <w:jc w:val="both"/>
        <w:rPr>
          <w:rFonts w:hint="eastAsia" w:eastAsia="宋体"/>
          <w:lang w:val="en-US" w:eastAsia="zh-CN"/>
        </w:rPr>
      </w:pPr>
    </w:p>
    <w:p w14:paraId="0C11A0AA">
      <w:bookmarkStart w:id="23" w:name="bookmark43"/>
      <w:bookmarkStart w:id="24" w:name="bookmark42"/>
      <w:bookmarkStart w:id="25" w:name="bookmark41"/>
      <w:r>
        <w:br w:type="page"/>
      </w:r>
    </w:p>
    <w:p w14:paraId="4C73FC30">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三</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w:t>
      </w:r>
      <w:r>
        <w:rPr>
          <w:rFonts w:hint="eastAsia" w:cs="宋体"/>
          <w:color w:val="000000"/>
          <w:sz w:val="17"/>
          <w:szCs w:val="17"/>
          <w:lang w:val="en-US" w:eastAsia="zh-CN" w:bidi="zh-TW"/>
        </w:rPr>
        <w:t>支出</w:t>
      </w:r>
      <w:r>
        <w:rPr>
          <w:rFonts w:hint="eastAsia" w:ascii="宋体" w:hAnsi="宋体" w:eastAsia="宋体" w:cs="宋体"/>
          <w:color w:val="000000"/>
          <w:sz w:val="17"/>
          <w:szCs w:val="17"/>
          <w:lang w:val="zh-TW" w:eastAsia="zh-TW" w:bidi="zh-TW"/>
        </w:rPr>
        <w:t>总体情况表</w:t>
      </w:r>
    </w:p>
    <w:p w14:paraId="58DDFF8E">
      <w:pPr>
        <w:pStyle w:val="23"/>
        <w:keepNext/>
        <w:keepLines/>
        <w:spacing w:after="240"/>
        <w:jc w:val="center"/>
      </w:pPr>
      <w:r>
        <w:rPr>
          <w:rFonts w:hint="eastAsia"/>
          <w:lang w:val="en-US" w:eastAsia="zh-CN"/>
        </w:rPr>
        <w:t>部门</w:t>
      </w:r>
      <w:r>
        <w:t>支出总体情况表</w:t>
      </w:r>
      <w:bookmarkEnd w:id="23"/>
      <w:bookmarkEnd w:id="24"/>
      <w:bookmarkEnd w:id="25"/>
    </w:p>
    <w:tbl>
      <w:tblPr>
        <w:tblStyle w:val="6"/>
        <w:tblW w:w="14159" w:type="dxa"/>
        <w:tblInd w:w="0" w:type="dxa"/>
        <w:tblLayout w:type="fixed"/>
        <w:tblCellMar>
          <w:top w:w="0" w:type="dxa"/>
          <w:left w:w="10" w:type="dxa"/>
          <w:bottom w:w="0" w:type="dxa"/>
          <w:right w:w="10" w:type="dxa"/>
        </w:tblCellMar>
      </w:tblPr>
      <w:tblGrid>
        <w:gridCol w:w="1701"/>
        <w:gridCol w:w="1785"/>
        <w:gridCol w:w="2206"/>
        <w:gridCol w:w="2104"/>
        <w:gridCol w:w="2122"/>
        <w:gridCol w:w="2053"/>
        <w:gridCol w:w="2188"/>
      </w:tblGrid>
      <w:tr w14:paraId="2799F2FE">
        <w:tblPrEx>
          <w:tblCellMar>
            <w:top w:w="0" w:type="dxa"/>
            <w:left w:w="10" w:type="dxa"/>
            <w:bottom w:w="0" w:type="dxa"/>
            <w:right w:w="10" w:type="dxa"/>
          </w:tblCellMar>
        </w:tblPrEx>
        <w:trPr>
          <w:cantSplit/>
          <w:trHeight w:val="315" w:hRule="exact"/>
        </w:trPr>
        <w:tc>
          <w:tcPr>
            <w:tcW w:w="11971" w:type="dxa"/>
            <w:gridSpan w:val="6"/>
            <w:shd w:val="clear" w:color="auto" w:fill="FFFFFF"/>
          </w:tcPr>
          <w:p w14:paraId="1F3DDE04">
            <w:pPr>
              <w:pStyle w:val="25"/>
              <w:spacing w:line="240" w:lineRule="auto"/>
              <w:ind w:firstLine="0"/>
              <w:jc w:val="left"/>
              <w:rPr>
                <w:sz w:val="17"/>
                <w:szCs w:val="17"/>
              </w:rPr>
            </w:pPr>
            <w:r>
              <w:rPr>
                <w:sz w:val="17"/>
                <w:szCs w:val="17"/>
              </w:rPr>
              <w:t>单位名称：</w:t>
            </w:r>
            <w:r>
              <w:rPr>
                <w:rFonts w:hint="eastAsia"/>
                <w:sz w:val="17"/>
                <w:szCs w:val="17"/>
                <w:lang w:eastAsia="zh-CN"/>
              </w:rPr>
              <w:t>广西壮族自治区河池市中级人民法院</w:t>
            </w:r>
          </w:p>
        </w:tc>
        <w:tc>
          <w:tcPr>
            <w:tcW w:w="2188" w:type="dxa"/>
            <w:shd w:val="clear" w:color="auto" w:fill="FFFFFF"/>
          </w:tcPr>
          <w:p w14:paraId="5F8419B2">
            <w:pPr>
              <w:pStyle w:val="25"/>
              <w:spacing w:line="240" w:lineRule="auto"/>
              <w:ind w:firstLine="1190" w:firstLineChars="700"/>
              <w:jc w:val="left"/>
              <w:rPr>
                <w:sz w:val="17"/>
                <w:szCs w:val="17"/>
              </w:rPr>
            </w:pPr>
            <w:r>
              <w:rPr>
                <w:sz w:val="17"/>
                <w:szCs w:val="17"/>
              </w:rPr>
              <w:t>单位：万元</w:t>
            </w:r>
          </w:p>
        </w:tc>
      </w:tr>
      <w:tr w14:paraId="74EDB5A3">
        <w:tblPrEx>
          <w:tblCellMar>
            <w:top w:w="0" w:type="dxa"/>
            <w:left w:w="10" w:type="dxa"/>
            <w:bottom w:w="0" w:type="dxa"/>
            <w:right w:w="10" w:type="dxa"/>
          </w:tblCellMar>
        </w:tblPrEx>
        <w:trPr>
          <w:cantSplit/>
          <w:trHeight w:val="775" w:hRule="exact"/>
        </w:trPr>
        <w:tc>
          <w:tcPr>
            <w:tcW w:w="1701" w:type="dxa"/>
            <w:tcBorders>
              <w:top w:val="single" w:color="auto" w:sz="4" w:space="0"/>
              <w:left w:val="single" w:color="auto" w:sz="4" w:space="0"/>
              <w:bottom w:val="single" w:color="auto" w:sz="4" w:space="0"/>
            </w:tcBorders>
            <w:shd w:val="clear" w:color="auto" w:fill="FFFFFF"/>
            <w:vAlign w:val="center"/>
          </w:tcPr>
          <w:p w14:paraId="05349771">
            <w:pPr>
              <w:pStyle w:val="25"/>
              <w:spacing w:line="240" w:lineRule="auto"/>
              <w:ind w:firstLine="0"/>
              <w:jc w:val="center"/>
              <w:rPr>
                <w:sz w:val="17"/>
                <w:szCs w:val="17"/>
              </w:rPr>
            </w:pPr>
            <w:r>
              <w:rPr>
                <w:sz w:val="17"/>
                <w:szCs w:val="17"/>
              </w:rPr>
              <w:t>科目编码</w:t>
            </w:r>
          </w:p>
        </w:tc>
        <w:tc>
          <w:tcPr>
            <w:tcW w:w="1785" w:type="dxa"/>
            <w:tcBorders>
              <w:top w:val="single" w:color="auto" w:sz="4" w:space="0"/>
              <w:left w:val="single" w:color="auto" w:sz="4" w:space="0"/>
              <w:bottom w:val="single" w:color="auto" w:sz="4" w:space="0"/>
            </w:tcBorders>
            <w:shd w:val="clear" w:color="auto" w:fill="FFFFFF"/>
            <w:vAlign w:val="center"/>
          </w:tcPr>
          <w:p w14:paraId="735CDA83">
            <w:pPr>
              <w:pStyle w:val="25"/>
              <w:spacing w:line="240" w:lineRule="auto"/>
              <w:ind w:firstLine="240"/>
              <w:jc w:val="center"/>
              <w:rPr>
                <w:sz w:val="17"/>
                <w:szCs w:val="17"/>
              </w:rPr>
            </w:pPr>
            <w:r>
              <w:rPr>
                <w:sz w:val="17"/>
                <w:szCs w:val="17"/>
              </w:rPr>
              <w:t>部门（单位）代码</w:t>
            </w:r>
          </w:p>
        </w:tc>
        <w:tc>
          <w:tcPr>
            <w:tcW w:w="2206" w:type="dxa"/>
            <w:tcBorders>
              <w:top w:val="single" w:color="auto" w:sz="4" w:space="0"/>
              <w:left w:val="single" w:color="auto" w:sz="4" w:space="0"/>
              <w:bottom w:val="single" w:color="auto" w:sz="4" w:space="0"/>
            </w:tcBorders>
            <w:shd w:val="clear" w:color="auto" w:fill="FFFFFF"/>
            <w:vAlign w:val="center"/>
          </w:tcPr>
          <w:p w14:paraId="21601A58">
            <w:pPr>
              <w:pStyle w:val="25"/>
              <w:spacing w:after="120" w:line="240" w:lineRule="auto"/>
              <w:ind w:firstLine="0"/>
              <w:jc w:val="center"/>
              <w:rPr>
                <w:sz w:val="17"/>
                <w:szCs w:val="17"/>
              </w:rPr>
            </w:pPr>
            <w:r>
              <w:rPr>
                <w:sz w:val="17"/>
                <w:szCs w:val="17"/>
              </w:rPr>
              <w:t>部门（单位）名称</w:t>
            </w:r>
          </w:p>
          <w:p w14:paraId="4D04B9B4">
            <w:pPr>
              <w:pStyle w:val="25"/>
              <w:spacing w:line="240" w:lineRule="auto"/>
              <w:ind w:firstLine="0"/>
              <w:jc w:val="center"/>
              <w:rPr>
                <w:sz w:val="17"/>
                <w:szCs w:val="17"/>
              </w:rPr>
            </w:pPr>
            <w:r>
              <w:rPr>
                <w:sz w:val="17"/>
                <w:szCs w:val="17"/>
              </w:rPr>
              <w:t>（功能分类科目名称）</w:t>
            </w:r>
          </w:p>
        </w:tc>
        <w:tc>
          <w:tcPr>
            <w:tcW w:w="2104" w:type="dxa"/>
            <w:tcBorders>
              <w:top w:val="single" w:color="auto" w:sz="4" w:space="0"/>
              <w:left w:val="single" w:color="auto" w:sz="4" w:space="0"/>
              <w:bottom w:val="single" w:color="auto" w:sz="4" w:space="0"/>
            </w:tcBorders>
            <w:shd w:val="clear" w:color="auto" w:fill="FFFFFF"/>
            <w:vAlign w:val="center"/>
          </w:tcPr>
          <w:p w14:paraId="52C91002">
            <w:pPr>
              <w:pStyle w:val="25"/>
              <w:spacing w:line="240" w:lineRule="auto"/>
              <w:ind w:firstLine="0"/>
              <w:jc w:val="center"/>
              <w:rPr>
                <w:sz w:val="17"/>
                <w:szCs w:val="17"/>
              </w:rPr>
            </w:pPr>
            <w:r>
              <w:rPr>
                <w:sz w:val="17"/>
                <w:szCs w:val="17"/>
              </w:rPr>
              <w:t>合计</w:t>
            </w:r>
          </w:p>
        </w:tc>
        <w:tc>
          <w:tcPr>
            <w:tcW w:w="2122" w:type="dxa"/>
            <w:tcBorders>
              <w:top w:val="single" w:color="auto" w:sz="4" w:space="0"/>
              <w:left w:val="single" w:color="auto" w:sz="4" w:space="0"/>
              <w:bottom w:val="single" w:color="auto" w:sz="4" w:space="0"/>
            </w:tcBorders>
            <w:shd w:val="clear" w:color="auto" w:fill="FFFFFF"/>
            <w:vAlign w:val="center"/>
          </w:tcPr>
          <w:p w14:paraId="4E778997">
            <w:pPr>
              <w:pStyle w:val="25"/>
              <w:spacing w:line="240" w:lineRule="auto"/>
              <w:ind w:firstLine="0"/>
              <w:jc w:val="center"/>
              <w:rPr>
                <w:sz w:val="17"/>
                <w:szCs w:val="17"/>
              </w:rPr>
            </w:pPr>
            <w:r>
              <w:rPr>
                <w:sz w:val="17"/>
                <w:szCs w:val="17"/>
              </w:rPr>
              <w:t>基本支出</w:t>
            </w:r>
          </w:p>
        </w:tc>
        <w:tc>
          <w:tcPr>
            <w:tcW w:w="2053" w:type="dxa"/>
            <w:tcBorders>
              <w:top w:val="single" w:color="auto" w:sz="4" w:space="0"/>
              <w:left w:val="single" w:color="auto" w:sz="4" w:space="0"/>
              <w:bottom w:val="single" w:color="auto" w:sz="4" w:space="0"/>
            </w:tcBorders>
            <w:shd w:val="clear" w:color="auto" w:fill="FFFFFF"/>
            <w:vAlign w:val="center"/>
          </w:tcPr>
          <w:p w14:paraId="38D60D25">
            <w:pPr>
              <w:pStyle w:val="25"/>
              <w:spacing w:line="240" w:lineRule="auto"/>
              <w:ind w:firstLine="0"/>
              <w:jc w:val="center"/>
              <w:rPr>
                <w:sz w:val="17"/>
                <w:szCs w:val="17"/>
              </w:rPr>
            </w:pPr>
            <w:r>
              <w:rPr>
                <w:sz w:val="17"/>
                <w:szCs w:val="17"/>
              </w:rPr>
              <w:t>项目支出</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F314CBD">
            <w:pPr>
              <w:pStyle w:val="25"/>
              <w:spacing w:line="240" w:lineRule="auto"/>
              <w:ind w:firstLine="0"/>
              <w:jc w:val="center"/>
              <w:rPr>
                <w:sz w:val="17"/>
                <w:szCs w:val="17"/>
              </w:rPr>
            </w:pPr>
            <w:r>
              <w:rPr>
                <w:sz w:val="17"/>
                <w:szCs w:val="17"/>
              </w:rPr>
              <w:t>结转下年支出</w:t>
            </w:r>
          </w:p>
        </w:tc>
      </w:tr>
      <w:tr w14:paraId="650E262E">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0D2D6A0">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46C3C352">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2C2EE632">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合计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1B61254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4112.67</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3D401C4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3872.67</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CAFD78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74471E3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5C40530C">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4B0C3FD">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F318602">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118001</w:t>
            </w: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FB5355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广西壮族自治区河池市中级人民法院</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10ECBB3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4112.67</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EA12B5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3872.67</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891D47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3BEE8E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6B44A198">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553B2D16">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2040501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1E732F4">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FF99DA7">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行政运行</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68550A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1283.26</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4826163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1167.26</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3A56E89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116.00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74DD20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CD25437">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1EA68D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2040502</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252BC8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4AF4E8C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一般行政管理事务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20F71F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100.00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829753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5190712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84C3C6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148B630E">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20EF63B">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2040504</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2EFB5909">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F06605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案件审判</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0EBFC1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24.00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351D7C5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2C094C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2C4621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4D876D5B">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CCA5B61">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2050803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EE5E59B">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5E6BF27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培训支出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449ACBB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30.15</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47D4EC2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30.15</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6562E0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2B5886D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59A7DCCE">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DE7690C">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2069999</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6664BD4E">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2021B00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其他科学技术支出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25ADD40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1624.92</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F05742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1624.92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76C12C3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D501C2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149ADE56">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6F6D50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2C6DA56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71293D3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行政单位离退休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27ED45B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112.74</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C83A9A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112.74</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23F7D7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279584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25961AE9">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916E7D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2080505</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D715D06">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6308517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机关事业单位基本养老保险缴费支出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A9FAEB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321.62</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F39ADD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321.62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1DF4DEC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4232A3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0688CA93">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64B0FB42">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2080506</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4FF19D5A">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24AAE63">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机关事业单位职业年金缴费支出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240F90C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160.81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18FF17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160.81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139FAC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547165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6A6FED1C">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716E78D">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2130114">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661CAE44">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行政单位医疗</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5BA87A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133.55</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57DDDF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133.55</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449325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8D9852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2FBBD2F7">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66042DF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419EF09A">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347955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公务员医疗补助</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149287A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80.41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052E801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80.41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5D2DAA6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7E0AAC4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5DD21CF8">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99A7F8C">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2210201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3465676">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5A3590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住房公积金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1B7FF4C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241.22</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0EEB417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241.22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5658A98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4DE2DE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bl>
    <w:p w14:paraId="2D696F27">
      <w:pPr>
        <w:pStyle w:val="27"/>
        <w:ind w:left="672"/>
        <w:jc w:val="left"/>
      </w:pPr>
      <w:r>
        <w:rPr>
          <w:b w:val="0"/>
          <w:bCs w:val="0"/>
        </w:rPr>
        <w:t>注：本报表金额单位转换时可能存在四舍五入尾数误差。</w:t>
      </w:r>
      <w:r>
        <w:br w:type="page"/>
      </w:r>
    </w:p>
    <w:p w14:paraId="75A639C2">
      <w:pPr>
        <w:pStyle w:val="23"/>
        <w:keepNext/>
        <w:keepLines/>
        <w:spacing w:after="240"/>
        <w:jc w:val="left"/>
      </w:pPr>
      <w:bookmarkStart w:id="26" w:name="bookmark46"/>
      <w:bookmarkStart w:id="27" w:name="bookmark45"/>
      <w:bookmarkStart w:id="28" w:name="bookmark44"/>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四</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财政拨款收支总体情况表</w:t>
      </w:r>
    </w:p>
    <w:p w14:paraId="3D5DF464">
      <w:pPr>
        <w:pStyle w:val="23"/>
        <w:keepNext/>
        <w:keepLines/>
        <w:spacing w:after="240"/>
        <w:jc w:val="center"/>
      </w:pPr>
      <w:r>
        <w:t>财政拨款收支总体情况表</w:t>
      </w:r>
      <w:bookmarkEnd w:id="26"/>
      <w:bookmarkEnd w:id="27"/>
      <w:bookmarkEnd w:id="28"/>
    </w:p>
    <w:tbl>
      <w:tblPr>
        <w:tblStyle w:val="6"/>
        <w:tblW w:w="14220" w:type="dxa"/>
        <w:tblInd w:w="0" w:type="dxa"/>
        <w:tblLayout w:type="fixed"/>
        <w:tblCellMar>
          <w:top w:w="0" w:type="dxa"/>
          <w:left w:w="10" w:type="dxa"/>
          <w:bottom w:w="0" w:type="dxa"/>
          <w:right w:w="10" w:type="dxa"/>
        </w:tblCellMar>
      </w:tblPr>
      <w:tblGrid>
        <w:gridCol w:w="2674"/>
        <w:gridCol w:w="885"/>
        <w:gridCol w:w="3549"/>
        <w:gridCol w:w="3547"/>
        <w:gridCol w:w="3563"/>
        <w:gridCol w:w="2"/>
      </w:tblGrid>
      <w:tr w14:paraId="41E5D48D">
        <w:tblPrEx>
          <w:tblCellMar>
            <w:top w:w="0" w:type="dxa"/>
            <w:left w:w="10" w:type="dxa"/>
            <w:bottom w:w="0" w:type="dxa"/>
            <w:right w:w="10" w:type="dxa"/>
          </w:tblCellMar>
        </w:tblPrEx>
        <w:trPr>
          <w:gridAfter w:val="1"/>
          <w:wAfter w:w="2" w:type="dxa"/>
          <w:cantSplit/>
          <w:trHeight w:val="264" w:hRule="exact"/>
        </w:trPr>
        <w:tc>
          <w:tcPr>
            <w:tcW w:w="10655" w:type="dxa"/>
            <w:gridSpan w:val="4"/>
            <w:shd w:val="clear" w:color="auto" w:fill="FFFFFF"/>
          </w:tcPr>
          <w:p w14:paraId="6C77D234">
            <w:pPr>
              <w:pStyle w:val="25"/>
              <w:spacing w:line="240" w:lineRule="auto"/>
              <w:ind w:firstLine="0"/>
              <w:jc w:val="left"/>
              <w:rPr>
                <w:rFonts w:hint="default"/>
                <w:sz w:val="17"/>
                <w:szCs w:val="17"/>
                <w:lang w:val="en-US"/>
              </w:rPr>
            </w:pPr>
            <w:r>
              <w:rPr>
                <w:sz w:val="17"/>
                <w:szCs w:val="17"/>
              </w:rPr>
              <w:t>单位名称：</w:t>
            </w:r>
            <w:r>
              <w:rPr>
                <w:rFonts w:hint="eastAsia"/>
                <w:sz w:val="17"/>
                <w:szCs w:val="17"/>
                <w:lang w:eastAsia="zh-CN"/>
              </w:rPr>
              <w:t>广西壮族自治区河池市中级人民法院</w:t>
            </w:r>
          </w:p>
        </w:tc>
        <w:tc>
          <w:tcPr>
            <w:tcW w:w="3563" w:type="dxa"/>
            <w:shd w:val="clear" w:color="auto" w:fill="FFFFFF"/>
          </w:tcPr>
          <w:p w14:paraId="6ADA36A6">
            <w:pPr>
              <w:pStyle w:val="25"/>
              <w:spacing w:line="240" w:lineRule="auto"/>
              <w:jc w:val="left"/>
              <w:rPr>
                <w:sz w:val="17"/>
                <w:szCs w:val="17"/>
              </w:rPr>
            </w:pPr>
            <w:r>
              <w:rPr>
                <w:sz w:val="17"/>
                <w:szCs w:val="17"/>
              </w:rPr>
              <w:t>单位：万元</w:t>
            </w:r>
          </w:p>
        </w:tc>
      </w:tr>
      <w:tr w14:paraId="1ECB01FB">
        <w:trPr>
          <w:gridAfter w:val="1"/>
          <w:wAfter w:w="2" w:type="dxa"/>
          <w:cantSplit/>
          <w:trHeight w:val="333" w:hRule="exact"/>
        </w:trPr>
        <w:tc>
          <w:tcPr>
            <w:tcW w:w="2674" w:type="dxa"/>
            <w:tcBorders>
              <w:top w:val="single" w:color="auto" w:sz="4" w:space="0"/>
              <w:left w:val="single" w:color="auto" w:sz="4" w:space="0"/>
            </w:tcBorders>
            <w:shd w:val="clear" w:color="auto" w:fill="FFFFFF"/>
          </w:tcPr>
          <w:p w14:paraId="7BDABA8F">
            <w:pPr>
              <w:jc w:val="center"/>
              <w:rPr>
                <w:sz w:val="10"/>
                <w:szCs w:val="10"/>
              </w:rPr>
            </w:pPr>
          </w:p>
        </w:tc>
        <w:tc>
          <w:tcPr>
            <w:tcW w:w="885" w:type="dxa"/>
            <w:tcBorders>
              <w:top w:val="single" w:color="auto" w:sz="4" w:space="0"/>
            </w:tcBorders>
            <w:shd w:val="clear" w:color="auto" w:fill="FFFFFF"/>
            <w:vAlign w:val="center"/>
          </w:tcPr>
          <w:p w14:paraId="12B4C1BD">
            <w:pPr>
              <w:pStyle w:val="25"/>
              <w:spacing w:line="240" w:lineRule="auto"/>
              <w:ind w:firstLine="0"/>
              <w:jc w:val="center"/>
              <w:rPr>
                <w:sz w:val="17"/>
                <w:szCs w:val="17"/>
              </w:rPr>
            </w:pPr>
            <w:r>
              <w:rPr>
                <w:sz w:val="17"/>
                <w:szCs w:val="17"/>
              </w:rPr>
              <w:t>收</w:t>
            </w:r>
          </w:p>
        </w:tc>
        <w:tc>
          <w:tcPr>
            <w:tcW w:w="3549" w:type="dxa"/>
            <w:tcBorders>
              <w:top w:val="single" w:color="auto" w:sz="4" w:space="0"/>
            </w:tcBorders>
            <w:shd w:val="clear" w:color="auto" w:fill="FFFFFF"/>
            <w:vAlign w:val="center"/>
          </w:tcPr>
          <w:p w14:paraId="45DD1BEE">
            <w:pPr>
              <w:pStyle w:val="25"/>
              <w:spacing w:line="240" w:lineRule="auto"/>
              <w:ind w:firstLine="340"/>
              <w:jc w:val="center"/>
              <w:rPr>
                <w:sz w:val="17"/>
                <w:szCs w:val="17"/>
              </w:rPr>
            </w:pPr>
            <w:r>
              <w:rPr>
                <w:sz w:val="17"/>
                <w:szCs w:val="17"/>
              </w:rPr>
              <w:t>入</w:t>
            </w:r>
          </w:p>
        </w:tc>
        <w:tc>
          <w:tcPr>
            <w:tcW w:w="3547" w:type="dxa"/>
            <w:tcBorders>
              <w:top w:val="single" w:color="auto" w:sz="4" w:space="0"/>
              <w:left w:val="single" w:color="auto" w:sz="4" w:space="0"/>
            </w:tcBorders>
            <w:shd w:val="clear" w:color="auto" w:fill="FFFFFF"/>
            <w:vAlign w:val="center"/>
          </w:tcPr>
          <w:p w14:paraId="65D658C1">
            <w:pPr>
              <w:pStyle w:val="25"/>
              <w:spacing w:line="240" w:lineRule="auto"/>
              <w:ind w:right="340" w:firstLine="2720" w:firstLineChars="1600"/>
              <w:jc w:val="center"/>
              <w:rPr>
                <w:sz w:val="17"/>
                <w:szCs w:val="17"/>
              </w:rPr>
            </w:pPr>
            <w:r>
              <w:rPr>
                <w:sz w:val="17"/>
                <w:szCs w:val="17"/>
              </w:rPr>
              <w:t>支</w:t>
            </w:r>
          </w:p>
        </w:tc>
        <w:tc>
          <w:tcPr>
            <w:tcW w:w="3563" w:type="dxa"/>
            <w:tcBorders>
              <w:top w:val="single" w:color="auto" w:sz="4" w:space="0"/>
              <w:right w:val="single" w:color="auto" w:sz="4" w:space="0"/>
            </w:tcBorders>
            <w:shd w:val="clear" w:color="auto" w:fill="FFFFFF"/>
            <w:vAlign w:val="center"/>
          </w:tcPr>
          <w:p w14:paraId="4E0FEA95">
            <w:pPr>
              <w:pStyle w:val="25"/>
              <w:spacing w:line="240" w:lineRule="auto"/>
              <w:ind w:firstLine="935" w:firstLineChars="550"/>
              <w:jc w:val="center"/>
              <w:rPr>
                <w:sz w:val="17"/>
                <w:szCs w:val="17"/>
              </w:rPr>
            </w:pPr>
            <w:r>
              <w:rPr>
                <w:sz w:val="17"/>
                <w:szCs w:val="17"/>
              </w:rPr>
              <w:t>出</w:t>
            </w:r>
          </w:p>
        </w:tc>
      </w:tr>
      <w:tr w14:paraId="6FA6EF57">
        <w:tblPrEx>
          <w:tblCellMar>
            <w:top w:w="0" w:type="dxa"/>
            <w:left w:w="10" w:type="dxa"/>
            <w:bottom w:w="0" w:type="dxa"/>
            <w:right w:w="10" w:type="dxa"/>
          </w:tblCellMar>
        </w:tblPrEx>
        <w:trPr>
          <w:gridAfter w:val="1"/>
          <w:wAfter w:w="2" w:type="dxa"/>
          <w:cantSplit/>
          <w:trHeight w:val="344" w:hRule="exact"/>
        </w:trPr>
        <w:tc>
          <w:tcPr>
            <w:tcW w:w="3559" w:type="dxa"/>
            <w:gridSpan w:val="2"/>
            <w:tcBorders>
              <w:top w:val="single" w:color="auto" w:sz="4" w:space="0"/>
              <w:left w:val="single" w:color="auto" w:sz="4" w:space="0"/>
            </w:tcBorders>
            <w:shd w:val="clear" w:color="auto" w:fill="FFFFFF"/>
            <w:vAlign w:val="center"/>
          </w:tcPr>
          <w:p w14:paraId="5CB3D3C1">
            <w:pPr>
              <w:pStyle w:val="25"/>
              <w:spacing w:line="240" w:lineRule="auto"/>
              <w:ind w:firstLine="0"/>
              <w:jc w:val="center"/>
              <w:rPr>
                <w:sz w:val="17"/>
                <w:szCs w:val="17"/>
              </w:rPr>
            </w:pPr>
            <w:r>
              <w:rPr>
                <w:sz w:val="17"/>
                <w:szCs w:val="17"/>
              </w:rPr>
              <w:t>项目</w:t>
            </w:r>
          </w:p>
        </w:tc>
        <w:tc>
          <w:tcPr>
            <w:tcW w:w="3549" w:type="dxa"/>
            <w:tcBorders>
              <w:top w:val="single" w:color="auto" w:sz="4" w:space="0"/>
              <w:left w:val="single" w:color="auto" w:sz="4" w:space="0"/>
            </w:tcBorders>
            <w:shd w:val="clear" w:color="auto" w:fill="FFFFFF"/>
            <w:vAlign w:val="center"/>
          </w:tcPr>
          <w:p w14:paraId="00A00577">
            <w:pPr>
              <w:pStyle w:val="25"/>
              <w:spacing w:line="240" w:lineRule="auto"/>
              <w:ind w:firstLine="0"/>
              <w:jc w:val="center"/>
              <w:rPr>
                <w:sz w:val="17"/>
                <w:szCs w:val="17"/>
              </w:rPr>
            </w:pPr>
            <w:r>
              <w:rPr>
                <w:sz w:val="17"/>
                <w:szCs w:val="17"/>
              </w:rPr>
              <w:t>预算数</w:t>
            </w:r>
          </w:p>
        </w:tc>
        <w:tc>
          <w:tcPr>
            <w:tcW w:w="3547" w:type="dxa"/>
            <w:tcBorders>
              <w:top w:val="single" w:color="auto" w:sz="4" w:space="0"/>
              <w:left w:val="single" w:color="auto" w:sz="4" w:space="0"/>
            </w:tcBorders>
            <w:shd w:val="clear" w:color="auto" w:fill="FFFFFF"/>
            <w:vAlign w:val="center"/>
          </w:tcPr>
          <w:p w14:paraId="661ED0FF">
            <w:pPr>
              <w:pStyle w:val="25"/>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563" w:type="dxa"/>
            <w:tcBorders>
              <w:top w:val="single" w:color="auto" w:sz="4" w:space="0"/>
              <w:left w:val="single" w:color="auto" w:sz="4" w:space="0"/>
              <w:right w:val="single" w:color="auto" w:sz="4" w:space="0"/>
            </w:tcBorders>
            <w:shd w:val="clear" w:color="auto" w:fill="FFFFFF"/>
            <w:vAlign w:val="center"/>
          </w:tcPr>
          <w:p w14:paraId="1B59C811">
            <w:pPr>
              <w:pStyle w:val="25"/>
              <w:spacing w:line="240" w:lineRule="auto"/>
              <w:ind w:firstLine="0"/>
              <w:jc w:val="center"/>
              <w:rPr>
                <w:sz w:val="17"/>
                <w:szCs w:val="17"/>
              </w:rPr>
            </w:pPr>
            <w:r>
              <w:rPr>
                <w:sz w:val="17"/>
                <w:szCs w:val="17"/>
              </w:rPr>
              <w:t>预算数</w:t>
            </w:r>
          </w:p>
        </w:tc>
      </w:tr>
      <w:tr w14:paraId="30B7894B">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C9233D6">
            <w:pPr>
              <w:pStyle w:val="25"/>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549" w:type="dxa"/>
            <w:tcBorders>
              <w:top w:val="single" w:color="auto" w:sz="4" w:space="0"/>
              <w:left w:val="single" w:color="auto" w:sz="4" w:space="0"/>
              <w:bottom w:val="single" w:color="auto" w:sz="4" w:space="0"/>
            </w:tcBorders>
            <w:shd w:val="clear" w:color="auto" w:fill="FFFFFF"/>
            <w:vAlign w:val="center"/>
          </w:tcPr>
          <w:p w14:paraId="7CE8CA77">
            <w:pPr>
              <w:pStyle w:val="25"/>
              <w:spacing w:line="240" w:lineRule="auto"/>
              <w:ind w:firstLine="200"/>
              <w:jc w:val="right"/>
              <w:rPr>
                <w:rFonts w:hint="default"/>
                <w:sz w:val="17"/>
                <w:szCs w:val="17"/>
                <w:lang w:val="en-US" w:eastAsia="zh-CN"/>
              </w:rPr>
            </w:pPr>
            <w:r>
              <w:rPr>
                <w:rFonts w:hint="eastAsia"/>
                <w:sz w:val="17"/>
                <w:szCs w:val="17"/>
                <w:lang w:val="en-US" w:eastAsia="zh-CN"/>
              </w:rPr>
              <w:t>4112.67</w:t>
            </w:r>
          </w:p>
        </w:tc>
        <w:tc>
          <w:tcPr>
            <w:tcW w:w="3547" w:type="dxa"/>
            <w:tcBorders>
              <w:top w:val="single" w:color="auto" w:sz="4" w:space="0"/>
              <w:left w:val="single" w:color="auto" w:sz="4" w:space="0"/>
              <w:bottom w:val="single" w:color="auto" w:sz="4" w:space="0"/>
            </w:tcBorders>
            <w:shd w:val="clear" w:color="auto" w:fill="FFFFFF"/>
            <w:vAlign w:val="center"/>
          </w:tcPr>
          <w:p w14:paraId="347BFB4E">
            <w:pPr>
              <w:pStyle w:val="25"/>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7D3145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F74598F">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2B7E84B">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4EB9FD9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011F2034">
            <w:pPr>
              <w:pStyle w:val="25"/>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B69395E">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57E94EC">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D64500B">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4BC175C9">
            <w:pPr>
              <w:pStyle w:val="25"/>
              <w:spacing w:line="240" w:lineRule="auto"/>
              <w:ind w:firstLine="200"/>
              <w:jc w:val="right"/>
              <w:rPr>
                <w:rFonts w:hint="default"/>
                <w:sz w:val="17"/>
                <w:szCs w:val="17"/>
                <w:lang w:val="en-US" w:eastAsia="zh-CN"/>
              </w:rPr>
            </w:pPr>
            <w:r>
              <w:rPr>
                <w:rFonts w:hint="eastAsia"/>
                <w:sz w:val="17"/>
                <w:szCs w:val="17"/>
                <w:lang w:val="en-US" w:eastAsia="zh-CN"/>
              </w:rPr>
              <w:t>4112.67</w:t>
            </w:r>
          </w:p>
        </w:tc>
        <w:tc>
          <w:tcPr>
            <w:tcW w:w="3547" w:type="dxa"/>
            <w:tcBorders>
              <w:top w:val="single" w:color="auto" w:sz="4" w:space="0"/>
              <w:left w:val="single" w:color="auto" w:sz="4" w:space="0"/>
              <w:bottom w:val="single" w:color="auto" w:sz="4" w:space="0"/>
            </w:tcBorders>
            <w:shd w:val="clear" w:color="auto" w:fill="FFFFFF"/>
            <w:vAlign w:val="center"/>
          </w:tcPr>
          <w:p w14:paraId="5622EB7A">
            <w:pPr>
              <w:pStyle w:val="25"/>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97A012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B65F717">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C3FF167">
            <w:pPr>
              <w:pStyle w:val="25"/>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549" w:type="dxa"/>
            <w:tcBorders>
              <w:top w:val="single" w:color="auto" w:sz="4" w:space="0"/>
              <w:left w:val="single" w:color="auto" w:sz="4" w:space="0"/>
              <w:bottom w:val="single" w:color="auto" w:sz="4" w:space="0"/>
            </w:tcBorders>
            <w:shd w:val="clear" w:color="auto" w:fill="FFFFFF"/>
            <w:vAlign w:val="center"/>
          </w:tcPr>
          <w:p w14:paraId="32A97B7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40AB9543">
            <w:pPr>
              <w:pStyle w:val="25"/>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60B39B8">
            <w:pPr>
              <w:pStyle w:val="25"/>
              <w:spacing w:line="240" w:lineRule="auto"/>
              <w:ind w:firstLine="200"/>
              <w:jc w:val="right"/>
              <w:rPr>
                <w:rFonts w:hint="default"/>
                <w:sz w:val="17"/>
                <w:szCs w:val="17"/>
                <w:lang w:val="en-US" w:eastAsia="zh-CN"/>
              </w:rPr>
            </w:pPr>
            <w:r>
              <w:rPr>
                <w:rFonts w:hint="eastAsia"/>
                <w:sz w:val="17"/>
                <w:szCs w:val="17"/>
                <w:lang w:val="en-US" w:eastAsia="zh-CN"/>
              </w:rPr>
              <w:t>1407.26</w:t>
            </w:r>
          </w:p>
        </w:tc>
      </w:tr>
      <w:tr w14:paraId="7526AB2E">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F019E0A">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19B002B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54566214">
            <w:pPr>
              <w:pStyle w:val="25"/>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8E87267">
            <w:pPr>
              <w:pStyle w:val="25"/>
              <w:spacing w:line="240" w:lineRule="auto"/>
              <w:ind w:firstLine="200"/>
              <w:jc w:val="right"/>
              <w:rPr>
                <w:rFonts w:hint="default"/>
                <w:sz w:val="17"/>
                <w:szCs w:val="17"/>
                <w:lang w:val="en-US" w:eastAsia="zh-CN"/>
              </w:rPr>
            </w:pPr>
            <w:r>
              <w:rPr>
                <w:rFonts w:hint="eastAsia"/>
                <w:sz w:val="17"/>
                <w:szCs w:val="17"/>
                <w:lang w:val="en-US" w:eastAsia="zh-CN"/>
              </w:rPr>
              <w:t>30.15</w:t>
            </w:r>
          </w:p>
        </w:tc>
      </w:tr>
      <w:tr w14:paraId="2AF935F7">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BDB2CA4">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7629733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2002E871">
            <w:pPr>
              <w:pStyle w:val="25"/>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E448DFD">
            <w:pPr>
              <w:pStyle w:val="25"/>
              <w:spacing w:line="240" w:lineRule="auto"/>
              <w:ind w:firstLine="200"/>
              <w:jc w:val="right"/>
              <w:rPr>
                <w:rFonts w:hint="default"/>
                <w:sz w:val="17"/>
                <w:szCs w:val="17"/>
                <w:lang w:val="en-US" w:eastAsia="zh-CN"/>
              </w:rPr>
            </w:pPr>
            <w:r>
              <w:rPr>
                <w:rFonts w:hint="eastAsia"/>
                <w:sz w:val="17"/>
                <w:szCs w:val="17"/>
                <w:lang w:val="en-US" w:eastAsia="zh-CN"/>
              </w:rPr>
              <w:t>1624.92</w:t>
            </w:r>
          </w:p>
        </w:tc>
      </w:tr>
      <w:tr w14:paraId="0FABDCF4">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D9688EC">
            <w:pPr>
              <w:pStyle w:val="25"/>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549" w:type="dxa"/>
            <w:tcBorders>
              <w:top w:val="single" w:color="auto" w:sz="4" w:space="0"/>
              <w:left w:val="single" w:color="auto" w:sz="4" w:space="0"/>
              <w:bottom w:val="single" w:color="auto" w:sz="4" w:space="0"/>
            </w:tcBorders>
            <w:shd w:val="clear" w:color="auto" w:fill="FFFFFF"/>
            <w:vAlign w:val="center"/>
          </w:tcPr>
          <w:p w14:paraId="194D4EC5">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0C5A6D57">
            <w:pPr>
              <w:pStyle w:val="25"/>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3C33F6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14CEBF9">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F99BEF6">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3C26F28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67458EE2">
            <w:pPr>
              <w:pStyle w:val="25"/>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077A15E">
            <w:pPr>
              <w:pStyle w:val="25"/>
              <w:spacing w:line="240" w:lineRule="auto"/>
              <w:ind w:firstLine="200"/>
              <w:jc w:val="right"/>
              <w:rPr>
                <w:rFonts w:hint="default"/>
                <w:sz w:val="17"/>
                <w:szCs w:val="17"/>
                <w:lang w:val="en-US" w:eastAsia="zh-CN"/>
              </w:rPr>
            </w:pPr>
            <w:r>
              <w:rPr>
                <w:rFonts w:hint="eastAsia"/>
                <w:sz w:val="17"/>
                <w:szCs w:val="17"/>
                <w:lang w:val="en-US" w:eastAsia="zh-CN"/>
              </w:rPr>
              <w:t>595.17</w:t>
            </w:r>
          </w:p>
        </w:tc>
      </w:tr>
      <w:tr w14:paraId="65962E85">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93E67D5">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330D4945">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76942413">
            <w:pPr>
              <w:pStyle w:val="25"/>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6675A46">
            <w:pPr>
              <w:pStyle w:val="25"/>
              <w:spacing w:line="240" w:lineRule="auto"/>
              <w:ind w:firstLine="200"/>
              <w:jc w:val="right"/>
              <w:rPr>
                <w:rFonts w:hint="default"/>
                <w:sz w:val="17"/>
                <w:szCs w:val="17"/>
                <w:lang w:val="en-US" w:eastAsia="zh-CN"/>
              </w:rPr>
            </w:pPr>
            <w:r>
              <w:rPr>
                <w:rFonts w:hint="eastAsia"/>
                <w:sz w:val="17"/>
                <w:szCs w:val="17"/>
                <w:lang w:val="en-US" w:eastAsia="zh-CN"/>
              </w:rPr>
              <w:t>213.95</w:t>
            </w:r>
          </w:p>
        </w:tc>
      </w:tr>
      <w:tr w14:paraId="03FDC978">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EC2BC7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43A1E1B">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009A560">
            <w:pPr>
              <w:pStyle w:val="25"/>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3A9F6B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3847E45">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19FD5F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E2B457D">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EE7AD22">
            <w:pPr>
              <w:pStyle w:val="25"/>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AE676C5">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2AEF49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3242180">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F020FFD">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559B960">
            <w:pPr>
              <w:pStyle w:val="25"/>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8F593F1">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A435C01">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6C81A85">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C37BFC6">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A01DCF5">
            <w:pPr>
              <w:pStyle w:val="25"/>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2B2CB3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AAA752C">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DCBB73C">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564F87F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E0D9312">
            <w:pPr>
              <w:pStyle w:val="25"/>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F9563E5">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D493147">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994AE6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662B633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A004F97">
            <w:pPr>
              <w:pStyle w:val="25"/>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90833A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73BEE2E">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9FAD9F3">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1ED4DE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B468B52">
            <w:pPr>
              <w:pStyle w:val="25"/>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EBC433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5407909">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C6B4B4B">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EC14F6D">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34D29AE">
            <w:pPr>
              <w:pStyle w:val="25"/>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298ACC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A604F8C">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D8D5AC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6FEB7F69">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1B5F2A24">
            <w:pPr>
              <w:pStyle w:val="25"/>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5EB4A25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F7ED8B0">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18FD5D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3F202BB">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71AD7F30">
            <w:pPr>
              <w:pStyle w:val="25"/>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D514C13">
            <w:pPr>
              <w:pStyle w:val="25"/>
              <w:spacing w:line="240" w:lineRule="auto"/>
              <w:ind w:firstLine="200"/>
              <w:jc w:val="right"/>
              <w:rPr>
                <w:rFonts w:hint="default"/>
                <w:sz w:val="17"/>
                <w:szCs w:val="17"/>
                <w:lang w:val="en-US" w:eastAsia="zh-CN"/>
              </w:rPr>
            </w:pPr>
            <w:r>
              <w:rPr>
                <w:rFonts w:hint="eastAsia"/>
                <w:sz w:val="17"/>
                <w:szCs w:val="17"/>
                <w:lang w:val="en-US" w:eastAsia="zh-CN"/>
              </w:rPr>
              <w:t>241.22</w:t>
            </w:r>
          </w:p>
        </w:tc>
      </w:tr>
      <w:tr w14:paraId="5102B95D">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B9223E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5B2692A8">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ED9DCFC">
            <w:pPr>
              <w:pStyle w:val="25"/>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64E2FFE">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8293186">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1476137">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B44BECB">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52794F7">
            <w:pPr>
              <w:pStyle w:val="25"/>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B5227B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A191EF8">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504819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668FE166">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12D0BFD">
            <w:pPr>
              <w:pStyle w:val="25"/>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9C3544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41C86D3">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69E7373">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018B03E">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047E7D81">
            <w:pPr>
              <w:pStyle w:val="25"/>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1BA146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D1ABD0D">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21CEE5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F0578E5">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E01502A">
            <w:pPr>
              <w:pStyle w:val="25"/>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BFDA8E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509D32E">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C4601D4">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C1C0DD2">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0E3986F7">
            <w:pPr>
              <w:pStyle w:val="25"/>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9D16D72">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6DC19FE">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5CFA193">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60FCB49">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14F7709">
            <w:pPr>
              <w:pStyle w:val="25"/>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60E8CE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49551433">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B3512EC">
            <w:pPr>
              <w:pStyle w:val="25"/>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549" w:type="dxa"/>
            <w:tcBorders>
              <w:top w:val="single" w:color="auto" w:sz="4" w:space="0"/>
              <w:left w:val="single" w:color="auto" w:sz="4" w:space="0"/>
              <w:bottom w:val="single" w:color="auto" w:sz="4" w:space="0"/>
            </w:tcBorders>
            <w:shd w:val="clear" w:color="auto" w:fill="FFFFFF"/>
            <w:vAlign w:val="center"/>
          </w:tcPr>
          <w:p w14:paraId="532BAE72">
            <w:pPr>
              <w:pStyle w:val="25"/>
              <w:spacing w:line="240" w:lineRule="auto"/>
              <w:ind w:firstLine="200"/>
              <w:jc w:val="right"/>
              <w:rPr>
                <w:rFonts w:hint="default"/>
                <w:sz w:val="17"/>
                <w:szCs w:val="17"/>
                <w:lang w:val="en-US" w:eastAsia="zh-CN"/>
              </w:rPr>
            </w:pPr>
            <w:r>
              <w:rPr>
                <w:rFonts w:hint="eastAsia"/>
                <w:sz w:val="17"/>
                <w:szCs w:val="17"/>
                <w:lang w:val="en-US" w:eastAsia="zh-CN"/>
              </w:rPr>
              <w:t>4112.67</w:t>
            </w:r>
          </w:p>
        </w:tc>
        <w:tc>
          <w:tcPr>
            <w:tcW w:w="3547" w:type="dxa"/>
            <w:tcBorders>
              <w:top w:val="single" w:color="auto" w:sz="4" w:space="0"/>
              <w:left w:val="single" w:color="auto" w:sz="4" w:space="0"/>
              <w:bottom w:val="single" w:color="auto" w:sz="4" w:space="0"/>
            </w:tcBorders>
            <w:shd w:val="clear" w:color="auto" w:fill="FFFFFF"/>
            <w:vAlign w:val="center"/>
          </w:tcPr>
          <w:p w14:paraId="4AEE26E6">
            <w:pPr>
              <w:pStyle w:val="25"/>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C26CA30">
            <w:pPr>
              <w:pStyle w:val="25"/>
              <w:spacing w:line="240" w:lineRule="auto"/>
              <w:ind w:firstLine="200"/>
              <w:jc w:val="right"/>
              <w:rPr>
                <w:rFonts w:hint="default"/>
                <w:sz w:val="17"/>
                <w:szCs w:val="17"/>
                <w:lang w:val="en-US" w:eastAsia="zh-CN"/>
              </w:rPr>
            </w:pPr>
            <w:r>
              <w:rPr>
                <w:rFonts w:hint="eastAsia"/>
                <w:sz w:val="17"/>
                <w:szCs w:val="17"/>
                <w:lang w:val="en-US" w:eastAsia="zh-CN"/>
              </w:rPr>
              <w:t>4112.67</w:t>
            </w:r>
          </w:p>
        </w:tc>
      </w:tr>
      <w:tr w14:paraId="708558DA">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3A927E3">
            <w:pPr>
              <w:pStyle w:val="25"/>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549" w:type="dxa"/>
            <w:tcBorders>
              <w:top w:val="single" w:color="auto" w:sz="4" w:space="0"/>
              <w:left w:val="single" w:color="auto" w:sz="4" w:space="0"/>
              <w:bottom w:val="single" w:color="auto" w:sz="4" w:space="0"/>
            </w:tcBorders>
            <w:shd w:val="clear" w:color="auto" w:fill="FFFFFF"/>
            <w:vAlign w:val="center"/>
          </w:tcPr>
          <w:p w14:paraId="2162F55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1FF51C7F">
            <w:pPr>
              <w:pStyle w:val="25"/>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5351EC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75BD61D">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8A9C80E">
            <w:pPr>
              <w:pStyle w:val="25"/>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549" w:type="dxa"/>
            <w:tcBorders>
              <w:top w:val="single" w:color="auto" w:sz="4" w:space="0"/>
              <w:left w:val="single" w:color="auto" w:sz="4" w:space="0"/>
              <w:bottom w:val="single" w:color="auto" w:sz="4" w:space="0"/>
            </w:tcBorders>
            <w:shd w:val="clear" w:color="auto" w:fill="FFFFFF"/>
            <w:vAlign w:val="center"/>
          </w:tcPr>
          <w:p w14:paraId="62A188F4">
            <w:pPr>
              <w:pStyle w:val="25"/>
              <w:spacing w:line="240" w:lineRule="auto"/>
              <w:ind w:firstLine="200"/>
              <w:jc w:val="right"/>
              <w:rPr>
                <w:rFonts w:hint="default"/>
                <w:sz w:val="17"/>
                <w:szCs w:val="17"/>
                <w:lang w:val="en-US" w:eastAsia="zh-CN"/>
              </w:rPr>
            </w:pPr>
            <w:r>
              <w:rPr>
                <w:rFonts w:hint="eastAsia"/>
                <w:sz w:val="17"/>
                <w:szCs w:val="17"/>
                <w:lang w:val="en-US" w:eastAsia="zh-CN"/>
              </w:rPr>
              <w:t>4112.67</w:t>
            </w:r>
          </w:p>
        </w:tc>
        <w:tc>
          <w:tcPr>
            <w:tcW w:w="3547" w:type="dxa"/>
            <w:tcBorders>
              <w:top w:val="single" w:color="auto" w:sz="4" w:space="0"/>
              <w:left w:val="single" w:color="auto" w:sz="4" w:space="0"/>
              <w:bottom w:val="single" w:color="auto" w:sz="4" w:space="0"/>
            </w:tcBorders>
            <w:shd w:val="clear" w:color="auto" w:fill="FFFFFF"/>
            <w:vAlign w:val="center"/>
          </w:tcPr>
          <w:p w14:paraId="58C0B394">
            <w:pPr>
              <w:pStyle w:val="25"/>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C91039C">
            <w:pPr>
              <w:pStyle w:val="25"/>
              <w:spacing w:line="240" w:lineRule="auto"/>
              <w:ind w:firstLine="200"/>
              <w:jc w:val="right"/>
              <w:rPr>
                <w:rFonts w:hint="default"/>
                <w:sz w:val="17"/>
                <w:szCs w:val="17"/>
                <w:lang w:val="en-US" w:eastAsia="zh-CN"/>
              </w:rPr>
            </w:pPr>
            <w:r>
              <w:rPr>
                <w:rFonts w:hint="eastAsia"/>
                <w:sz w:val="17"/>
                <w:szCs w:val="17"/>
                <w:lang w:val="en-US" w:eastAsia="zh-CN"/>
              </w:rPr>
              <w:t>4112.67</w:t>
            </w:r>
          </w:p>
        </w:tc>
      </w:tr>
      <w:tr w14:paraId="4EEE52C7">
        <w:tblPrEx>
          <w:tblCellMar>
            <w:top w:w="0" w:type="dxa"/>
            <w:left w:w="10" w:type="dxa"/>
            <w:bottom w:w="0" w:type="dxa"/>
            <w:right w:w="10" w:type="dxa"/>
          </w:tblCellMar>
        </w:tblPrEx>
        <w:trPr>
          <w:cantSplit/>
          <w:trHeight w:val="268" w:hRule="exact"/>
        </w:trPr>
        <w:tc>
          <w:tcPr>
            <w:tcW w:w="14220" w:type="dxa"/>
            <w:gridSpan w:val="6"/>
            <w:tcBorders>
              <w:top w:val="single" w:color="auto" w:sz="4" w:space="0"/>
            </w:tcBorders>
            <w:shd w:val="clear" w:color="auto" w:fill="FFFFFF"/>
          </w:tcPr>
          <w:p w14:paraId="4C1466B1">
            <w:pPr>
              <w:jc w:val="left"/>
              <w:rPr>
                <w:rFonts w:hint="eastAsia" w:ascii="宋体" w:hAnsi="宋体" w:eastAsia="宋体" w:cs="宋体"/>
                <w:sz w:val="17"/>
                <w:szCs w:val="17"/>
                <w:lang w:eastAsia="zh-CN"/>
              </w:rPr>
            </w:pPr>
            <w:r>
              <w:rPr>
                <w:rFonts w:hint="eastAsia" w:ascii="宋体" w:hAnsi="宋体" w:eastAsia="宋体" w:cs="宋体"/>
                <w:sz w:val="17"/>
                <w:szCs w:val="17"/>
              </w:rPr>
              <w:t>注：表中功能分类科目，根据各部门实际预算编制情况编列。</w:t>
            </w:r>
          </w:p>
        </w:tc>
      </w:tr>
      <w:tr w14:paraId="519E1DE4">
        <w:trPr>
          <w:cantSplit/>
          <w:trHeight w:val="209" w:hRule="exact"/>
        </w:trPr>
        <w:tc>
          <w:tcPr>
            <w:tcW w:w="14220" w:type="dxa"/>
            <w:gridSpan w:val="6"/>
            <w:shd w:val="clear" w:color="auto" w:fill="FFFFFF"/>
            <w:vAlign w:val="bottom"/>
          </w:tcPr>
          <w:p w14:paraId="2FCF91B9">
            <w:pPr>
              <w:jc w:val="left"/>
              <w:rPr>
                <w:rFonts w:hint="eastAsia" w:ascii="宋体" w:hAnsi="宋体" w:eastAsia="宋体" w:cs="宋体"/>
                <w:sz w:val="17"/>
                <w:szCs w:val="17"/>
                <w:lang w:eastAsia="zh-CN"/>
              </w:rPr>
            </w:pPr>
            <w:r>
              <w:rPr>
                <w:rFonts w:hint="eastAsia" w:ascii="宋体" w:hAnsi="宋体" w:eastAsia="宋体" w:cs="宋体"/>
                <w:sz w:val="17"/>
                <w:szCs w:val="17"/>
              </w:rPr>
              <w:t>报表金额单位转换时可能存在四舍五入尾数误差。</w:t>
            </w:r>
          </w:p>
        </w:tc>
      </w:tr>
    </w:tbl>
    <w:p w14:paraId="16DE60A2">
      <w:pPr>
        <w:jc w:val="left"/>
        <w:rPr>
          <w:lang w:eastAsia="zh-CN"/>
        </w:rPr>
      </w:pPr>
      <w:r>
        <w:br w:type="page"/>
      </w:r>
    </w:p>
    <w:p w14:paraId="568BD1D1">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五</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一般公共预算支出情况表</w:t>
      </w:r>
    </w:p>
    <w:p w14:paraId="61B1C162">
      <w:pPr>
        <w:jc w:val="left"/>
        <w:rPr>
          <w:rFonts w:hint="eastAsia"/>
          <w:lang w:eastAsia="zh-CN"/>
        </w:rPr>
      </w:pPr>
    </w:p>
    <w:p w14:paraId="195669B8">
      <w:pPr>
        <w:jc w:val="center"/>
        <w:rPr>
          <w:rFonts w:hint="eastAsia"/>
          <w:lang w:eastAsia="zh-CN"/>
        </w:rPr>
      </w:pPr>
      <w:r>
        <w:rPr>
          <w:rFonts w:hint="eastAsia"/>
          <w:lang w:eastAsia="zh-CN"/>
        </w:rPr>
        <w:t>一般公共预算支出情况表</w:t>
      </w:r>
    </w:p>
    <w:p w14:paraId="335A9424">
      <w:pPr>
        <w:jc w:val="center"/>
        <w:rPr>
          <w:rFonts w:hint="eastAsia"/>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676"/>
        <w:gridCol w:w="1662"/>
        <w:gridCol w:w="1717"/>
        <w:gridCol w:w="1879"/>
        <w:gridCol w:w="1729"/>
        <w:gridCol w:w="1718"/>
        <w:gridCol w:w="72"/>
        <w:gridCol w:w="1694"/>
        <w:gridCol w:w="1695"/>
      </w:tblGrid>
      <w:tr w14:paraId="31BC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96" w:type="dxa"/>
            <w:gridSpan w:val="7"/>
            <w:tcBorders>
              <w:top w:val="nil"/>
              <w:left w:val="nil"/>
              <w:right w:val="nil"/>
            </w:tcBorders>
          </w:tcPr>
          <w:p w14:paraId="4ECB2A6D">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3461" w:type="dxa"/>
            <w:gridSpan w:val="3"/>
            <w:tcBorders>
              <w:top w:val="nil"/>
              <w:left w:val="nil"/>
              <w:right w:val="nil"/>
            </w:tcBorders>
          </w:tcPr>
          <w:p w14:paraId="7BF03D70">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14:paraId="095A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restart"/>
          </w:tcPr>
          <w:p w14:paraId="339531FC">
            <w:pPr>
              <w:jc w:val="center"/>
              <w:rPr>
                <w:sz w:val="17"/>
                <w:szCs w:val="17"/>
              </w:rPr>
            </w:pPr>
          </w:p>
          <w:p w14:paraId="0EC1B56A">
            <w:pPr>
              <w:jc w:val="center"/>
              <w:rPr>
                <w:sz w:val="17"/>
                <w:szCs w:val="17"/>
              </w:rPr>
            </w:pPr>
          </w:p>
          <w:p w14:paraId="60FDA994">
            <w:pPr>
              <w:jc w:val="center"/>
              <w:rPr>
                <w:rFonts w:hint="eastAsia"/>
                <w:vertAlign w:val="baseline"/>
                <w:lang w:eastAsia="zh-CN"/>
              </w:rPr>
            </w:pPr>
            <w:r>
              <w:rPr>
                <w:sz w:val="17"/>
                <w:szCs w:val="17"/>
              </w:rPr>
              <w:t>科目编码</w:t>
            </w:r>
          </w:p>
        </w:tc>
        <w:tc>
          <w:tcPr>
            <w:tcW w:w="1676" w:type="dxa"/>
            <w:vMerge w:val="restart"/>
          </w:tcPr>
          <w:p w14:paraId="05F06E1D">
            <w:pPr>
              <w:jc w:val="center"/>
              <w:rPr>
                <w:sz w:val="17"/>
                <w:szCs w:val="17"/>
              </w:rPr>
            </w:pPr>
          </w:p>
          <w:p w14:paraId="462817D2">
            <w:pPr>
              <w:jc w:val="center"/>
              <w:rPr>
                <w:sz w:val="17"/>
                <w:szCs w:val="17"/>
              </w:rPr>
            </w:pPr>
          </w:p>
          <w:p w14:paraId="2DEA7F71">
            <w:pPr>
              <w:jc w:val="center"/>
              <w:rPr>
                <w:rFonts w:hint="eastAsia"/>
                <w:vertAlign w:val="baseline"/>
                <w:lang w:eastAsia="zh-CN"/>
              </w:rPr>
            </w:pPr>
            <w:r>
              <w:rPr>
                <w:sz w:val="17"/>
                <w:szCs w:val="17"/>
              </w:rPr>
              <w:t>部门（单位）代码</w:t>
            </w:r>
          </w:p>
        </w:tc>
        <w:tc>
          <w:tcPr>
            <w:tcW w:w="1662" w:type="dxa"/>
            <w:vMerge w:val="restart"/>
          </w:tcPr>
          <w:p w14:paraId="6BA7A1CC">
            <w:pPr>
              <w:pStyle w:val="25"/>
              <w:spacing w:after="120" w:line="240" w:lineRule="auto"/>
              <w:ind w:firstLine="0"/>
              <w:jc w:val="center"/>
              <w:rPr>
                <w:sz w:val="17"/>
                <w:szCs w:val="17"/>
              </w:rPr>
            </w:pPr>
            <w:r>
              <w:rPr>
                <w:sz w:val="17"/>
                <w:szCs w:val="17"/>
              </w:rPr>
              <w:t>部门（单位）名称</w:t>
            </w:r>
          </w:p>
          <w:p w14:paraId="0276AA2C">
            <w:pPr>
              <w:jc w:val="center"/>
              <w:rPr>
                <w:rFonts w:hint="eastAsia"/>
                <w:vertAlign w:val="baseline"/>
                <w:lang w:eastAsia="zh-CN"/>
              </w:rPr>
            </w:pPr>
            <w:r>
              <w:rPr>
                <w:sz w:val="17"/>
                <w:szCs w:val="17"/>
              </w:rPr>
              <w:t>（功能分类科目名称）</w:t>
            </w:r>
          </w:p>
        </w:tc>
        <w:tc>
          <w:tcPr>
            <w:tcW w:w="1717" w:type="dxa"/>
            <w:vMerge w:val="restart"/>
          </w:tcPr>
          <w:p w14:paraId="1F7B5247">
            <w:pPr>
              <w:jc w:val="center"/>
              <w:rPr>
                <w:sz w:val="17"/>
                <w:szCs w:val="17"/>
              </w:rPr>
            </w:pPr>
          </w:p>
          <w:p w14:paraId="67316BD1">
            <w:pPr>
              <w:jc w:val="center"/>
              <w:rPr>
                <w:sz w:val="17"/>
                <w:szCs w:val="17"/>
              </w:rPr>
            </w:pPr>
          </w:p>
          <w:p w14:paraId="5AF9C8A6">
            <w:pPr>
              <w:jc w:val="center"/>
              <w:rPr>
                <w:rFonts w:hint="eastAsia"/>
                <w:vertAlign w:val="baseline"/>
                <w:lang w:eastAsia="zh-CN"/>
              </w:rPr>
            </w:pPr>
            <w:r>
              <w:rPr>
                <w:sz w:val="17"/>
                <w:szCs w:val="17"/>
              </w:rPr>
              <w:t>合计</w:t>
            </w:r>
          </w:p>
        </w:tc>
        <w:tc>
          <w:tcPr>
            <w:tcW w:w="5398" w:type="dxa"/>
            <w:gridSpan w:val="4"/>
          </w:tcPr>
          <w:p w14:paraId="416DE936">
            <w:pPr>
              <w:jc w:val="center"/>
              <w:rPr>
                <w:rFonts w:hint="eastAsia"/>
                <w:vertAlign w:val="baseline"/>
                <w:lang w:eastAsia="zh-CN"/>
              </w:rPr>
            </w:pPr>
            <w:r>
              <w:rPr>
                <w:sz w:val="17"/>
                <w:szCs w:val="17"/>
              </w:rPr>
              <w:t>基本支出</w:t>
            </w:r>
          </w:p>
        </w:tc>
        <w:tc>
          <w:tcPr>
            <w:tcW w:w="1694" w:type="dxa"/>
            <w:vMerge w:val="restart"/>
          </w:tcPr>
          <w:p w14:paraId="7BB94EAB">
            <w:pPr>
              <w:jc w:val="center"/>
              <w:rPr>
                <w:sz w:val="17"/>
                <w:szCs w:val="17"/>
              </w:rPr>
            </w:pPr>
          </w:p>
          <w:p w14:paraId="223F9BB3">
            <w:pPr>
              <w:jc w:val="center"/>
              <w:rPr>
                <w:sz w:val="17"/>
                <w:szCs w:val="17"/>
              </w:rPr>
            </w:pPr>
          </w:p>
          <w:p w14:paraId="3BD21562">
            <w:pPr>
              <w:jc w:val="center"/>
              <w:rPr>
                <w:rFonts w:hint="eastAsia"/>
                <w:vertAlign w:val="baseline"/>
                <w:lang w:eastAsia="zh-CN"/>
              </w:rPr>
            </w:pPr>
            <w:r>
              <w:rPr>
                <w:sz w:val="17"/>
                <w:szCs w:val="17"/>
              </w:rPr>
              <w:t>项目支出</w:t>
            </w:r>
          </w:p>
        </w:tc>
        <w:tc>
          <w:tcPr>
            <w:tcW w:w="1695" w:type="dxa"/>
            <w:vMerge w:val="restart"/>
          </w:tcPr>
          <w:p w14:paraId="1D26714C">
            <w:pPr>
              <w:jc w:val="center"/>
              <w:rPr>
                <w:sz w:val="17"/>
                <w:szCs w:val="17"/>
              </w:rPr>
            </w:pPr>
          </w:p>
          <w:p w14:paraId="094755F1">
            <w:pPr>
              <w:jc w:val="center"/>
              <w:rPr>
                <w:sz w:val="17"/>
                <w:szCs w:val="17"/>
              </w:rPr>
            </w:pPr>
          </w:p>
          <w:p w14:paraId="7C2504A1">
            <w:pPr>
              <w:jc w:val="center"/>
              <w:rPr>
                <w:rFonts w:hint="eastAsia"/>
                <w:vertAlign w:val="baseline"/>
                <w:lang w:eastAsia="zh-CN"/>
              </w:rPr>
            </w:pPr>
            <w:r>
              <w:rPr>
                <w:sz w:val="17"/>
                <w:szCs w:val="17"/>
              </w:rPr>
              <w:t>结转下年支出</w:t>
            </w:r>
          </w:p>
        </w:tc>
      </w:tr>
      <w:tr w14:paraId="499B8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Merge w:val="continue"/>
          </w:tcPr>
          <w:p w14:paraId="5C2FA896">
            <w:pPr>
              <w:jc w:val="center"/>
              <w:rPr>
                <w:rFonts w:hint="eastAsia"/>
                <w:vertAlign w:val="baseline"/>
                <w:lang w:eastAsia="zh-CN"/>
              </w:rPr>
            </w:pPr>
          </w:p>
        </w:tc>
        <w:tc>
          <w:tcPr>
            <w:tcW w:w="1676" w:type="dxa"/>
            <w:vMerge w:val="continue"/>
          </w:tcPr>
          <w:p w14:paraId="6BB3BFA6">
            <w:pPr>
              <w:jc w:val="center"/>
              <w:rPr>
                <w:rFonts w:hint="eastAsia"/>
                <w:vertAlign w:val="baseline"/>
                <w:lang w:eastAsia="zh-CN"/>
              </w:rPr>
            </w:pPr>
          </w:p>
        </w:tc>
        <w:tc>
          <w:tcPr>
            <w:tcW w:w="1662" w:type="dxa"/>
            <w:vMerge w:val="continue"/>
          </w:tcPr>
          <w:p w14:paraId="372F623F">
            <w:pPr>
              <w:jc w:val="center"/>
              <w:rPr>
                <w:rFonts w:hint="eastAsia"/>
                <w:vertAlign w:val="baseline"/>
                <w:lang w:eastAsia="zh-CN"/>
              </w:rPr>
            </w:pPr>
          </w:p>
        </w:tc>
        <w:tc>
          <w:tcPr>
            <w:tcW w:w="1717" w:type="dxa"/>
            <w:vMerge w:val="continue"/>
          </w:tcPr>
          <w:p w14:paraId="774D0A3D">
            <w:pPr>
              <w:jc w:val="center"/>
              <w:rPr>
                <w:rFonts w:hint="eastAsia"/>
                <w:vertAlign w:val="baseline"/>
                <w:lang w:eastAsia="zh-CN"/>
              </w:rPr>
            </w:pPr>
          </w:p>
        </w:tc>
        <w:tc>
          <w:tcPr>
            <w:tcW w:w="1879" w:type="dxa"/>
            <w:vAlign w:val="center"/>
          </w:tcPr>
          <w:p w14:paraId="185EF680">
            <w:pPr>
              <w:pStyle w:val="25"/>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14:paraId="184EDB59">
            <w:pPr>
              <w:pStyle w:val="25"/>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14:paraId="4B8371BD">
            <w:pPr>
              <w:pStyle w:val="25"/>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14:paraId="2A056A91">
            <w:pPr>
              <w:jc w:val="center"/>
              <w:rPr>
                <w:rFonts w:hint="eastAsia"/>
                <w:vertAlign w:val="baseline"/>
                <w:lang w:eastAsia="zh-CN"/>
              </w:rPr>
            </w:pPr>
          </w:p>
        </w:tc>
        <w:tc>
          <w:tcPr>
            <w:tcW w:w="1695" w:type="dxa"/>
            <w:vMerge w:val="continue"/>
          </w:tcPr>
          <w:p w14:paraId="166998E4">
            <w:pPr>
              <w:jc w:val="center"/>
              <w:rPr>
                <w:rFonts w:hint="eastAsia"/>
                <w:vertAlign w:val="baseline"/>
                <w:lang w:eastAsia="zh-CN"/>
              </w:rPr>
            </w:pPr>
          </w:p>
        </w:tc>
      </w:tr>
      <w:tr w14:paraId="76DD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34E52473">
            <w:pPr>
              <w:jc w:val="center"/>
              <w:rPr>
                <w:rFonts w:hint="eastAsia"/>
                <w:vertAlign w:val="baseline"/>
                <w:lang w:eastAsia="zh-CN"/>
              </w:rPr>
            </w:pPr>
          </w:p>
        </w:tc>
        <w:tc>
          <w:tcPr>
            <w:tcW w:w="1676" w:type="dxa"/>
            <w:vAlign w:val="center"/>
          </w:tcPr>
          <w:p w14:paraId="68FA0FA4">
            <w:pPr>
              <w:jc w:val="center"/>
              <w:rPr>
                <w:rFonts w:hint="eastAsia"/>
                <w:vertAlign w:val="baseline"/>
                <w:lang w:eastAsia="zh-CN"/>
              </w:rPr>
            </w:pPr>
          </w:p>
        </w:tc>
        <w:tc>
          <w:tcPr>
            <w:tcW w:w="1662" w:type="dxa"/>
            <w:vAlign w:val="center"/>
          </w:tcPr>
          <w:p w14:paraId="58C54A0F">
            <w:pPr>
              <w:jc w:val="center"/>
              <w:rPr>
                <w:rFonts w:hint="eastAsia"/>
                <w:vertAlign w:val="baseline"/>
                <w:lang w:eastAsia="zh-CN"/>
              </w:rPr>
            </w:pPr>
          </w:p>
        </w:tc>
        <w:tc>
          <w:tcPr>
            <w:tcW w:w="1717" w:type="dxa"/>
            <w:vAlign w:val="center"/>
          </w:tcPr>
          <w:p w14:paraId="699D186D">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14:paraId="64642725">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14:paraId="21824D6E">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14:paraId="3CC847BE">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14:paraId="566FDE6F">
            <w:pPr>
              <w:pStyle w:val="25"/>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14:paraId="5CDC2B04">
            <w:pPr>
              <w:pStyle w:val="25"/>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14:paraId="0A690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38E6C764">
            <w:pPr>
              <w:pStyle w:val="25"/>
              <w:spacing w:line="240" w:lineRule="auto"/>
              <w:ind w:firstLine="0" w:firstLineChars="0"/>
              <w:jc w:val="left"/>
              <w:rPr>
                <w:rFonts w:hint="eastAsia" w:ascii="宋体" w:hAnsi="宋体" w:eastAsia="宋体" w:cs="宋体"/>
                <w:b w:val="0"/>
                <w:bCs w:val="0"/>
                <w:vertAlign w:val="baseline"/>
                <w:lang w:eastAsia="zh-CN"/>
              </w:rPr>
            </w:pPr>
          </w:p>
        </w:tc>
        <w:tc>
          <w:tcPr>
            <w:tcW w:w="1676" w:type="dxa"/>
            <w:vAlign w:val="center"/>
          </w:tcPr>
          <w:p w14:paraId="35C916B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118001</w:t>
            </w:r>
          </w:p>
        </w:tc>
        <w:tc>
          <w:tcPr>
            <w:tcW w:w="1662" w:type="dxa"/>
            <w:vAlign w:val="center"/>
          </w:tcPr>
          <w:p w14:paraId="509231F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广西壮族自治区河池市中级人民法院</w:t>
            </w:r>
          </w:p>
        </w:tc>
        <w:tc>
          <w:tcPr>
            <w:tcW w:w="1717" w:type="dxa"/>
            <w:vAlign w:val="center"/>
          </w:tcPr>
          <w:p w14:paraId="3CC318F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4112.67</w:t>
            </w:r>
          </w:p>
        </w:tc>
        <w:tc>
          <w:tcPr>
            <w:tcW w:w="1879" w:type="dxa"/>
            <w:vAlign w:val="center"/>
          </w:tcPr>
          <w:p w14:paraId="124C50A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3872.67</w:t>
            </w:r>
          </w:p>
        </w:tc>
        <w:tc>
          <w:tcPr>
            <w:tcW w:w="1729" w:type="dxa"/>
            <w:vAlign w:val="center"/>
          </w:tcPr>
          <w:p w14:paraId="2B4E400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3474.33</w:t>
            </w:r>
          </w:p>
        </w:tc>
        <w:tc>
          <w:tcPr>
            <w:tcW w:w="1790" w:type="dxa"/>
            <w:gridSpan w:val="2"/>
            <w:vAlign w:val="center"/>
          </w:tcPr>
          <w:p w14:paraId="1F146C11">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398.34</w:t>
            </w:r>
          </w:p>
        </w:tc>
        <w:tc>
          <w:tcPr>
            <w:tcW w:w="1694" w:type="dxa"/>
            <w:vAlign w:val="center"/>
          </w:tcPr>
          <w:p w14:paraId="5AD7B32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240.00</w:t>
            </w:r>
          </w:p>
        </w:tc>
        <w:tc>
          <w:tcPr>
            <w:tcW w:w="1695" w:type="dxa"/>
            <w:vAlign w:val="center"/>
          </w:tcPr>
          <w:p w14:paraId="76F1185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4BA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4409AB9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2040501</w:t>
            </w:r>
          </w:p>
        </w:tc>
        <w:tc>
          <w:tcPr>
            <w:tcW w:w="1676" w:type="dxa"/>
            <w:vAlign w:val="center"/>
          </w:tcPr>
          <w:p w14:paraId="14C76820">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13D6CF7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行政运行</w:t>
            </w:r>
          </w:p>
        </w:tc>
        <w:tc>
          <w:tcPr>
            <w:tcW w:w="1717" w:type="dxa"/>
            <w:vAlign w:val="center"/>
          </w:tcPr>
          <w:p w14:paraId="2B6E770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1283.26</w:t>
            </w:r>
          </w:p>
        </w:tc>
        <w:tc>
          <w:tcPr>
            <w:tcW w:w="1879" w:type="dxa"/>
            <w:vAlign w:val="center"/>
          </w:tcPr>
          <w:p w14:paraId="2E580A4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1167.26</w:t>
            </w:r>
          </w:p>
        </w:tc>
        <w:tc>
          <w:tcPr>
            <w:tcW w:w="1729" w:type="dxa"/>
            <w:vAlign w:val="center"/>
          </w:tcPr>
          <w:p w14:paraId="5B16A24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799.07</w:t>
            </w:r>
          </w:p>
        </w:tc>
        <w:tc>
          <w:tcPr>
            <w:tcW w:w="1790" w:type="dxa"/>
            <w:gridSpan w:val="2"/>
            <w:vAlign w:val="center"/>
          </w:tcPr>
          <w:p w14:paraId="77270D60">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368.19</w:t>
            </w:r>
          </w:p>
        </w:tc>
        <w:tc>
          <w:tcPr>
            <w:tcW w:w="1694" w:type="dxa"/>
            <w:vAlign w:val="center"/>
          </w:tcPr>
          <w:p w14:paraId="5F89C56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116.00</w:t>
            </w:r>
          </w:p>
        </w:tc>
        <w:tc>
          <w:tcPr>
            <w:tcW w:w="1695" w:type="dxa"/>
            <w:vAlign w:val="center"/>
          </w:tcPr>
          <w:p w14:paraId="7896A6E0">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2EFC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79707B6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2040502</w:t>
            </w:r>
          </w:p>
        </w:tc>
        <w:tc>
          <w:tcPr>
            <w:tcW w:w="1676" w:type="dxa"/>
            <w:vAlign w:val="center"/>
          </w:tcPr>
          <w:p w14:paraId="360D68E3">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1664FE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一般行政管理事务</w:t>
            </w:r>
          </w:p>
        </w:tc>
        <w:tc>
          <w:tcPr>
            <w:tcW w:w="1717" w:type="dxa"/>
            <w:vAlign w:val="center"/>
          </w:tcPr>
          <w:p w14:paraId="1902E561">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100.00</w:t>
            </w:r>
          </w:p>
        </w:tc>
        <w:tc>
          <w:tcPr>
            <w:tcW w:w="1879" w:type="dxa"/>
            <w:vAlign w:val="center"/>
          </w:tcPr>
          <w:p w14:paraId="156A964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729" w:type="dxa"/>
            <w:vAlign w:val="center"/>
          </w:tcPr>
          <w:p w14:paraId="6FF98E6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05526734">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6C78E08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100.00</w:t>
            </w:r>
          </w:p>
        </w:tc>
        <w:tc>
          <w:tcPr>
            <w:tcW w:w="1695" w:type="dxa"/>
            <w:vAlign w:val="center"/>
          </w:tcPr>
          <w:p w14:paraId="0817191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D9F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304CA4F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2040504</w:t>
            </w:r>
          </w:p>
        </w:tc>
        <w:tc>
          <w:tcPr>
            <w:tcW w:w="1676" w:type="dxa"/>
            <w:vAlign w:val="center"/>
          </w:tcPr>
          <w:p w14:paraId="5A9CA81A">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37B8B54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案件审判</w:t>
            </w:r>
          </w:p>
        </w:tc>
        <w:tc>
          <w:tcPr>
            <w:tcW w:w="1717" w:type="dxa"/>
            <w:vAlign w:val="center"/>
          </w:tcPr>
          <w:p w14:paraId="185EA72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24.00</w:t>
            </w:r>
          </w:p>
        </w:tc>
        <w:tc>
          <w:tcPr>
            <w:tcW w:w="1879" w:type="dxa"/>
            <w:vAlign w:val="center"/>
          </w:tcPr>
          <w:p w14:paraId="1DA4484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729" w:type="dxa"/>
            <w:vAlign w:val="center"/>
          </w:tcPr>
          <w:p w14:paraId="0F0D67B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43B1B249">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5395C8B3">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24.00</w:t>
            </w:r>
          </w:p>
        </w:tc>
        <w:tc>
          <w:tcPr>
            <w:tcW w:w="1695" w:type="dxa"/>
            <w:vAlign w:val="center"/>
          </w:tcPr>
          <w:p w14:paraId="4B8A23C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0B3C4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394A9F8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2050803</w:t>
            </w:r>
          </w:p>
        </w:tc>
        <w:tc>
          <w:tcPr>
            <w:tcW w:w="1676" w:type="dxa"/>
            <w:vAlign w:val="center"/>
          </w:tcPr>
          <w:p w14:paraId="022D709C">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571843D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培训支出</w:t>
            </w:r>
          </w:p>
        </w:tc>
        <w:tc>
          <w:tcPr>
            <w:tcW w:w="1717" w:type="dxa"/>
            <w:vAlign w:val="center"/>
          </w:tcPr>
          <w:p w14:paraId="4E4B43D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30.15</w:t>
            </w:r>
          </w:p>
        </w:tc>
        <w:tc>
          <w:tcPr>
            <w:tcW w:w="1879" w:type="dxa"/>
            <w:vAlign w:val="center"/>
          </w:tcPr>
          <w:p w14:paraId="4FF4160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30.15</w:t>
            </w:r>
          </w:p>
        </w:tc>
        <w:tc>
          <w:tcPr>
            <w:tcW w:w="1729" w:type="dxa"/>
            <w:vAlign w:val="center"/>
          </w:tcPr>
          <w:p w14:paraId="76A5626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012BEF57">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30.15</w:t>
            </w:r>
          </w:p>
        </w:tc>
        <w:tc>
          <w:tcPr>
            <w:tcW w:w="1694" w:type="dxa"/>
            <w:vAlign w:val="center"/>
          </w:tcPr>
          <w:p w14:paraId="680625A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08E4566">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5047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B68CA4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2069999</w:t>
            </w:r>
          </w:p>
        </w:tc>
        <w:tc>
          <w:tcPr>
            <w:tcW w:w="1676" w:type="dxa"/>
            <w:vAlign w:val="center"/>
          </w:tcPr>
          <w:p w14:paraId="52570AEE">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B27D2E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其他科学技术支出</w:t>
            </w:r>
          </w:p>
        </w:tc>
        <w:tc>
          <w:tcPr>
            <w:tcW w:w="1717" w:type="dxa"/>
            <w:vAlign w:val="center"/>
          </w:tcPr>
          <w:p w14:paraId="0AFF8E72">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1624.92</w:t>
            </w:r>
          </w:p>
        </w:tc>
        <w:tc>
          <w:tcPr>
            <w:tcW w:w="1879" w:type="dxa"/>
            <w:vAlign w:val="center"/>
          </w:tcPr>
          <w:p w14:paraId="09164547">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1624.92</w:t>
            </w:r>
          </w:p>
        </w:tc>
        <w:tc>
          <w:tcPr>
            <w:tcW w:w="1729" w:type="dxa"/>
            <w:vAlign w:val="center"/>
          </w:tcPr>
          <w:p w14:paraId="68B044C2">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1624.92</w:t>
            </w:r>
          </w:p>
        </w:tc>
        <w:tc>
          <w:tcPr>
            <w:tcW w:w="1790" w:type="dxa"/>
            <w:gridSpan w:val="2"/>
            <w:vAlign w:val="center"/>
          </w:tcPr>
          <w:p w14:paraId="6E0A82C2">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3A9BE51">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02B9074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F08C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740DF63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2080501</w:t>
            </w:r>
          </w:p>
        </w:tc>
        <w:tc>
          <w:tcPr>
            <w:tcW w:w="1676" w:type="dxa"/>
            <w:vAlign w:val="center"/>
          </w:tcPr>
          <w:p w14:paraId="0A93A27C">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899666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行政单位离退休</w:t>
            </w:r>
          </w:p>
        </w:tc>
        <w:tc>
          <w:tcPr>
            <w:tcW w:w="1717" w:type="dxa"/>
            <w:vAlign w:val="center"/>
          </w:tcPr>
          <w:p w14:paraId="5A08DC8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112.74</w:t>
            </w:r>
          </w:p>
        </w:tc>
        <w:tc>
          <w:tcPr>
            <w:tcW w:w="1879" w:type="dxa"/>
            <w:vAlign w:val="center"/>
          </w:tcPr>
          <w:p w14:paraId="09F3578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112.74</w:t>
            </w:r>
          </w:p>
        </w:tc>
        <w:tc>
          <w:tcPr>
            <w:tcW w:w="1729" w:type="dxa"/>
            <w:vAlign w:val="center"/>
          </w:tcPr>
          <w:p w14:paraId="446021F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112.74</w:t>
            </w:r>
          </w:p>
        </w:tc>
        <w:tc>
          <w:tcPr>
            <w:tcW w:w="1790" w:type="dxa"/>
            <w:gridSpan w:val="2"/>
            <w:vAlign w:val="center"/>
          </w:tcPr>
          <w:p w14:paraId="0C0C0DA5">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6B91A566">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064D1F0E">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2656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E49931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2080505</w:t>
            </w:r>
          </w:p>
        </w:tc>
        <w:tc>
          <w:tcPr>
            <w:tcW w:w="1676" w:type="dxa"/>
            <w:vAlign w:val="center"/>
          </w:tcPr>
          <w:p w14:paraId="1513393C">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36A7A6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机关事业单位基本养老保险缴费支出</w:t>
            </w:r>
          </w:p>
        </w:tc>
        <w:tc>
          <w:tcPr>
            <w:tcW w:w="1717" w:type="dxa"/>
            <w:vAlign w:val="center"/>
          </w:tcPr>
          <w:p w14:paraId="5AB392D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321.62</w:t>
            </w:r>
          </w:p>
        </w:tc>
        <w:tc>
          <w:tcPr>
            <w:tcW w:w="1879" w:type="dxa"/>
            <w:vAlign w:val="center"/>
          </w:tcPr>
          <w:p w14:paraId="3C62496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321.62</w:t>
            </w:r>
          </w:p>
        </w:tc>
        <w:tc>
          <w:tcPr>
            <w:tcW w:w="1729" w:type="dxa"/>
            <w:vAlign w:val="center"/>
          </w:tcPr>
          <w:p w14:paraId="57992E5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321.62</w:t>
            </w:r>
          </w:p>
        </w:tc>
        <w:tc>
          <w:tcPr>
            <w:tcW w:w="1790" w:type="dxa"/>
            <w:gridSpan w:val="2"/>
            <w:vAlign w:val="center"/>
          </w:tcPr>
          <w:p w14:paraId="6FF0E8E3">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055677AC">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E4CB85E">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0436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4FBA36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2080506</w:t>
            </w:r>
          </w:p>
        </w:tc>
        <w:tc>
          <w:tcPr>
            <w:tcW w:w="1676" w:type="dxa"/>
            <w:vAlign w:val="center"/>
          </w:tcPr>
          <w:p w14:paraId="6FF6575A">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0BC82F8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机关事业单位职业年金缴费支出</w:t>
            </w:r>
          </w:p>
        </w:tc>
        <w:tc>
          <w:tcPr>
            <w:tcW w:w="1717" w:type="dxa"/>
            <w:vAlign w:val="center"/>
          </w:tcPr>
          <w:p w14:paraId="6779A47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160.81</w:t>
            </w:r>
          </w:p>
        </w:tc>
        <w:tc>
          <w:tcPr>
            <w:tcW w:w="1879" w:type="dxa"/>
            <w:vAlign w:val="center"/>
          </w:tcPr>
          <w:p w14:paraId="42B9920C">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160.81</w:t>
            </w:r>
          </w:p>
        </w:tc>
        <w:tc>
          <w:tcPr>
            <w:tcW w:w="1729" w:type="dxa"/>
            <w:vAlign w:val="center"/>
          </w:tcPr>
          <w:p w14:paraId="347636A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160.81</w:t>
            </w:r>
          </w:p>
        </w:tc>
        <w:tc>
          <w:tcPr>
            <w:tcW w:w="1790" w:type="dxa"/>
            <w:gridSpan w:val="2"/>
            <w:vAlign w:val="center"/>
          </w:tcPr>
          <w:p w14:paraId="4AA720C6">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3B3246DE">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0219AAD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2EFF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302004C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2101101</w:t>
            </w:r>
          </w:p>
        </w:tc>
        <w:tc>
          <w:tcPr>
            <w:tcW w:w="1676" w:type="dxa"/>
            <w:vAlign w:val="center"/>
          </w:tcPr>
          <w:p w14:paraId="310D5C12">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5FA3EF5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行政单位医疗</w:t>
            </w:r>
          </w:p>
        </w:tc>
        <w:tc>
          <w:tcPr>
            <w:tcW w:w="1717" w:type="dxa"/>
            <w:vAlign w:val="center"/>
          </w:tcPr>
          <w:p w14:paraId="273EAE9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133.55</w:t>
            </w:r>
          </w:p>
        </w:tc>
        <w:tc>
          <w:tcPr>
            <w:tcW w:w="1879" w:type="dxa"/>
            <w:vAlign w:val="center"/>
          </w:tcPr>
          <w:p w14:paraId="6DA059F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133.55</w:t>
            </w:r>
          </w:p>
        </w:tc>
        <w:tc>
          <w:tcPr>
            <w:tcW w:w="1729" w:type="dxa"/>
            <w:vAlign w:val="center"/>
          </w:tcPr>
          <w:p w14:paraId="41EC931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133.55</w:t>
            </w:r>
          </w:p>
        </w:tc>
        <w:tc>
          <w:tcPr>
            <w:tcW w:w="1790" w:type="dxa"/>
            <w:gridSpan w:val="2"/>
            <w:vAlign w:val="center"/>
          </w:tcPr>
          <w:p w14:paraId="1E342B61">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A40F644">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2C17411">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7A8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CD9D5E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2101103</w:t>
            </w:r>
          </w:p>
        </w:tc>
        <w:tc>
          <w:tcPr>
            <w:tcW w:w="1676" w:type="dxa"/>
            <w:vAlign w:val="center"/>
          </w:tcPr>
          <w:p w14:paraId="60C982EF">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71E8200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w:t>
            </w:r>
          </w:p>
        </w:tc>
        <w:tc>
          <w:tcPr>
            <w:tcW w:w="1717" w:type="dxa"/>
            <w:vAlign w:val="center"/>
          </w:tcPr>
          <w:p w14:paraId="6B4A4DF7">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80.41</w:t>
            </w:r>
          </w:p>
        </w:tc>
        <w:tc>
          <w:tcPr>
            <w:tcW w:w="1879" w:type="dxa"/>
            <w:vAlign w:val="center"/>
          </w:tcPr>
          <w:p w14:paraId="44277CB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80.41</w:t>
            </w:r>
          </w:p>
        </w:tc>
        <w:tc>
          <w:tcPr>
            <w:tcW w:w="1729" w:type="dxa"/>
            <w:vAlign w:val="center"/>
          </w:tcPr>
          <w:p w14:paraId="787FF23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80.41</w:t>
            </w:r>
          </w:p>
        </w:tc>
        <w:tc>
          <w:tcPr>
            <w:tcW w:w="1790" w:type="dxa"/>
            <w:gridSpan w:val="2"/>
            <w:vAlign w:val="center"/>
          </w:tcPr>
          <w:p w14:paraId="2CF41849">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BD5AFA4">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34FDAC42">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81A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2A14D98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2210201</w:t>
            </w:r>
          </w:p>
        </w:tc>
        <w:tc>
          <w:tcPr>
            <w:tcW w:w="1676" w:type="dxa"/>
            <w:vAlign w:val="center"/>
          </w:tcPr>
          <w:p w14:paraId="27DEF0D5">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25CA814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1717" w:type="dxa"/>
            <w:vAlign w:val="center"/>
          </w:tcPr>
          <w:p w14:paraId="09FF26A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241.22</w:t>
            </w:r>
          </w:p>
        </w:tc>
        <w:tc>
          <w:tcPr>
            <w:tcW w:w="1879" w:type="dxa"/>
            <w:vAlign w:val="center"/>
          </w:tcPr>
          <w:p w14:paraId="00309FFB">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241.22</w:t>
            </w:r>
          </w:p>
        </w:tc>
        <w:tc>
          <w:tcPr>
            <w:tcW w:w="1729" w:type="dxa"/>
            <w:vAlign w:val="center"/>
          </w:tcPr>
          <w:p w14:paraId="076A568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241.22</w:t>
            </w:r>
          </w:p>
        </w:tc>
        <w:tc>
          <w:tcPr>
            <w:tcW w:w="1790" w:type="dxa"/>
            <w:gridSpan w:val="2"/>
            <w:vAlign w:val="center"/>
          </w:tcPr>
          <w:p w14:paraId="0194FBD1">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8867B0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6CACDA5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0B1B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7" w:type="dxa"/>
            <w:gridSpan w:val="10"/>
            <w:tcBorders>
              <w:left w:val="nil"/>
              <w:bottom w:val="nil"/>
              <w:right w:val="nil"/>
            </w:tcBorders>
          </w:tcPr>
          <w:p w14:paraId="205CDEC5">
            <w:pPr>
              <w:jc w:val="left"/>
              <w:rPr>
                <w:rFonts w:hint="eastAsia"/>
                <w:sz w:val="17"/>
                <w:szCs w:val="17"/>
                <w:vertAlign w:val="baseline"/>
                <w:lang w:eastAsia="zh-CN"/>
              </w:rPr>
            </w:pPr>
            <w:r>
              <w:rPr>
                <w:rFonts w:hint="eastAsia" w:ascii="宋体" w:hAnsi="宋体" w:eastAsia="宋体" w:cs="宋体"/>
                <w:sz w:val="17"/>
                <w:szCs w:val="17"/>
              </w:rPr>
              <w:t>注：本报表金额单位转换时可能存在四舍五入尾数误差。</w:t>
            </w:r>
          </w:p>
        </w:tc>
      </w:tr>
    </w:tbl>
    <w:p w14:paraId="50C8CDEE">
      <w:pPr>
        <w:rPr>
          <w:lang w:eastAsia="zh-CN"/>
        </w:rPr>
      </w:pPr>
      <w:r>
        <w:br w:type="page"/>
      </w:r>
    </w:p>
    <w:p w14:paraId="7CFC183F">
      <w:pPr>
        <w:pStyle w:val="23"/>
        <w:keepNext/>
        <w:keepLines/>
        <w:spacing w:after="240"/>
        <w:jc w:val="left"/>
        <w:rPr>
          <w:lang w:eastAsia="zh-CN"/>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六</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一般公共预算基本支出情况表</w:t>
      </w:r>
    </w:p>
    <w:p w14:paraId="339C9BED">
      <w:pPr>
        <w:pStyle w:val="23"/>
        <w:keepNext/>
        <w:keepLines/>
        <w:spacing w:after="240"/>
        <w:jc w:val="center"/>
      </w:pPr>
      <w:bookmarkStart w:id="29" w:name="bookmark56"/>
      <w:bookmarkStart w:id="30" w:name="bookmark57"/>
      <w:bookmarkStart w:id="31" w:name="bookmark58"/>
      <w:r>
        <w:t>一般公共预算基本支出情况表</w:t>
      </w:r>
      <w:bookmarkEnd w:id="29"/>
      <w:bookmarkEnd w:id="30"/>
      <w:bookmarkEnd w:id="3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14:paraId="73BD0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44" w:type="dxa"/>
            <w:gridSpan w:val="4"/>
            <w:tcBorders>
              <w:top w:val="nil"/>
              <w:left w:val="nil"/>
              <w:right w:val="nil"/>
            </w:tcBorders>
          </w:tcPr>
          <w:p w14:paraId="7C69914D">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3113" w:type="dxa"/>
            <w:tcBorders>
              <w:top w:val="nil"/>
              <w:left w:val="nil"/>
              <w:right w:val="nil"/>
            </w:tcBorders>
          </w:tcPr>
          <w:p w14:paraId="3DED18E7">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76D9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6221" w:type="dxa"/>
            <w:gridSpan w:val="2"/>
          </w:tcPr>
          <w:p w14:paraId="79A553AA">
            <w:pPr>
              <w:jc w:val="center"/>
              <w:rPr>
                <w:sz w:val="17"/>
                <w:szCs w:val="17"/>
              </w:rPr>
            </w:pPr>
          </w:p>
          <w:p w14:paraId="24538EF1">
            <w:pPr>
              <w:jc w:val="center"/>
              <w:rPr>
                <w:vertAlign w:val="baseline"/>
                <w:lang w:eastAsia="zh-CN"/>
              </w:rPr>
            </w:pPr>
            <w:r>
              <w:rPr>
                <w:sz w:val="17"/>
                <w:szCs w:val="17"/>
              </w:rPr>
              <w:t>部门预算支出经济分类科目</w:t>
            </w:r>
          </w:p>
        </w:tc>
        <w:tc>
          <w:tcPr>
            <w:tcW w:w="9336" w:type="dxa"/>
            <w:gridSpan w:val="3"/>
          </w:tcPr>
          <w:p w14:paraId="7D8AA3FF">
            <w:pPr>
              <w:jc w:val="center"/>
              <w:rPr>
                <w:sz w:val="17"/>
                <w:szCs w:val="17"/>
              </w:rPr>
            </w:pPr>
          </w:p>
          <w:p w14:paraId="2B2109F1">
            <w:pPr>
              <w:jc w:val="center"/>
              <w:rPr>
                <w:vertAlign w:val="baseline"/>
                <w:lang w:eastAsia="zh-CN"/>
              </w:rPr>
            </w:pPr>
            <w:r>
              <w:rPr>
                <w:sz w:val="17"/>
                <w:szCs w:val="17"/>
              </w:rPr>
              <w:t>本年一般公共预算基本支出</w:t>
            </w:r>
          </w:p>
        </w:tc>
      </w:tr>
      <w:tr w14:paraId="5516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3110" w:type="dxa"/>
            <w:vAlign w:val="center"/>
          </w:tcPr>
          <w:p w14:paraId="05325483">
            <w:pPr>
              <w:pStyle w:val="25"/>
              <w:spacing w:line="240" w:lineRule="auto"/>
              <w:ind w:firstLine="0" w:firstLineChars="0"/>
              <w:jc w:val="center"/>
              <w:rPr>
                <w:vertAlign w:val="baseline"/>
                <w:lang w:eastAsia="zh-CN"/>
              </w:rPr>
            </w:pPr>
            <w:r>
              <w:rPr>
                <w:sz w:val="17"/>
                <w:szCs w:val="17"/>
              </w:rPr>
              <w:t>科目编码</w:t>
            </w:r>
          </w:p>
        </w:tc>
        <w:tc>
          <w:tcPr>
            <w:tcW w:w="3111" w:type="dxa"/>
            <w:vAlign w:val="center"/>
          </w:tcPr>
          <w:p w14:paraId="60E9AA83">
            <w:pPr>
              <w:pStyle w:val="25"/>
              <w:spacing w:line="240" w:lineRule="auto"/>
              <w:ind w:firstLine="0" w:firstLineChars="0"/>
              <w:jc w:val="center"/>
              <w:rPr>
                <w:vertAlign w:val="baseline"/>
                <w:lang w:eastAsia="zh-CN"/>
              </w:rPr>
            </w:pPr>
            <w:r>
              <w:rPr>
                <w:sz w:val="17"/>
                <w:szCs w:val="17"/>
              </w:rPr>
              <w:t>科目名称</w:t>
            </w:r>
          </w:p>
        </w:tc>
        <w:tc>
          <w:tcPr>
            <w:tcW w:w="3111" w:type="dxa"/>
            <w:vAlign w:val="center"/>
          </w:tcPr>
          <w:p w14:paraId="5D9520AB">
            <w:pPr>
              <w:pStyle w:val="25"/>
              <w:spacing w:line="240" w:lineRule="auto"/>
              <w:ind w:firstLine="0" w:firstLineChars="0"/>
              <w:jc w:val="center"/>
              <w:rPr>
                <w:vertAlign w:val="baseline"/>
                <w:lang w:eastAsia="zh-CN"/>
              </w:rPr>
            </w:pPr>
            <w:r>
              <w:rPr>
                <w:sz w:val="17"/>
                <w:szCs w:val="17"/>
              </w:rPr>
              <w:t>合计</w:t>
            </w:r>
          </w:p>
        </w:tc>
        <w:tc>
          <w:tcPr>
            <w:tcW w:w="3112" w:type="dxa"/>
            <w:vAlign w:val="center"/>
          </w:tcPr>
          <w:p w14:paraId="1E669C07">
            <w:pPr>
              <w:pStyle w:val="25"/>
              <w:spacing w:line="240" w:lineRule="auto"/>
              <w:ind w:firstLine="0" w:firstLineChars="0"/>
              <w:jc w:val="center"/>
              <w:rPr>
                <w:vertAlign w:val="baseline"/>
                <w:lang w:eastAsia="zh-CN"/>
              </w:rPr>
            </w:pPr>
            <w:r>
              <w:rPr>
                <w:sz w:val="17"/>
                <w:szCs w:val="17"/>
              </w:rPr>
              <w:t>人员经费</w:t>
            </w:r>
          </w:p>
        </w:tc>
        <w:tc>
          <w:tcPr>
            <w:tcW w:w="3113" w:type="dxa"/>
            <w:vAlign w:val="center"/>
          </w:tcPr>
          <w:p w14:paraId="775DE3FF">
            <w:pPr>
              <w:pStyle w:val="25"/>
              <w:spacing w:line="240" w:lineRule="auto"/>
              <w:ind w:firstLine="0" w:firstLineChars="0"/>
              <w:jc w:val="center"/>
              <w:rPr>
                <w:vertAlign w:val="baseline"/>
                <w:lang w:eastAsia="zh-CN"/>
              </w:rPr>
            </w:pPr>
            <w:r>
              <w:rPr>
                <w:sz w:val="17"/>
                <w:szCs w:val="17"/>
              </w:rPr>
              <w:t>公用经费</w:t>
            </w:r>
          </w:p>
        </w:tc>
      </w:tr>
      <w:tr w14:paraId="3E75B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1A458E7">
            <w:pPr>
              <w:pStyle w:val="25"/>
              <w:spacing w:line="240" w:lineRule="auto"/>
              <w:ind w:firstLine="0" w:firstLineChars="0"/>
              <w:jc w:val="left"/>
              <w:rPr>
                <w:rFonts w:hint="eastAsia" w:ascii="宋体" w:hAnsi="宋体" w:eastAsia="宋体" w:cs="宋体"/>
                <w:b w:val="0"/>
                <w:bCs w:val="0"/>
                <w:vertAlign w:val="baseline"/>
                <w:lang w:eastAsia="zh-CN"/>
              </w:rPr>
            </w:pPr>
          </w:p>
        </w:tc>
        <w:tc>
          <w:tcPr>
            <w:tcW w:w="3111" w:type="dxa"/>
            <w:vAlign w:val="center"/>
          </w:tcPr>
          <w:p w14:paraId="065D492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合计</w:t>
            </w:r>
          </w:p>
        </w:tc>
        <w:tc>
          <w:tcPr>
            <w:tcW w:w="3111" w:type="dxa"/>
            <w:vAlign w:val="center"/>
          </w:tcPr>
          <w:p w14:paraId="1A5F110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3872.67</w:t>
            </w:r>
          </w:p>
        </w:tc>
        <w:tc>
          <w:tcPr>
            <w:tcW w:w="3112" w:type="dxa"/>
            <w:vAlign w:val="center"/>
          </w:tcPr>
          <w:p w14:paraId="5F7D755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3474.33</w:t>
            </w:r>
          </w:p>
        </w:tc>
        <w:tc>
          <w:tcPr>
            <w:tcW w:w="3113" w:type="dxa"/>
            <w:vAlign w:val="center"/>
          </w:tcPr>
          <w:p w14:paraId="572D28B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398.34</w:t>
            </w:r>
          </w:p>
        </w:tc>
      </w:tr>
      <w:tr w14:paraId="5AC2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916C47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w:t>
            </w:r>
          </w:p>
        </w:tc>
        <w:tc>
          <w:tcPr>
            <w:tcW w:w="3111" w:type="dxa"/>
            <w:vAlign w:val="center"/>
          </w:tcPr>
          <w:p w14:paraId="520C541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工资福利支出</w:t>
            </w:r>
          </w:p>
        </w:tc>
        <w:tc>
          <w:tcPr>
            <w:tcW w:w="3111" w:type="dxa"/>
            <w:vAlign w:val="center"/>
          </w:tcPr>
          <w:p w14:paraId="73240D3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3361.59</w:t>
            </w:r>
          </w:p>
        </w:tc>
        <w:tc>
          <w:tcPr>
            <w:tcW w:w="3112" w:type="dxa"/>
            <w:vAlign w:val="center"/>
          </w:tcPr>
          <w:p w14:paraId="5414E73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3361.59</w:t>
            </w:r>
          </w:p>
        </w:tc>
        <w:tc>
          <w:tcPr>
            <w:tcW w:w="3113" w:type="dxa"/>
            <w:vAlign w:val="center"/>
          </w:tcPr>
          <w:p w14:paraId="2FDB211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4FC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4033DA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30101</w:t>
            </w:r>
          </w:p>
        </w:tc>
        <w:tc>
          <w:tcPr>
            <w:tcW w:w="3111" w:type="dxa"/>
            <w:vAlign w:val="center"/>
          </w:tcPr>
          <w:p w14:paraId="2C63B7E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基本工资</w:t>
            </w:r>
          </w:p>
        </w:tc>
        <w:tc>
          <w:tcPr>
            <w:tcW w:w="3111" w:type="dxa"/>
            <w:vAlign w:val="center"/>
          </w:tcPr>
          <w:p w14:paraId="666D513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598.94</w:t>
            </w:r>
          </w:p>
        </w:tc>
        <w:tc>
          <w:tcPr>
            <w:tcW w:w="3112" w:type="dxa"/>
            <w:vAlign w:val="center"/>
          </w:tcPr>
          <w:p w14:paraId="3E8A02C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598.94</w:t>
            </w:r>
          </w:p>
        </w:tc>
        <w:tc>
          <w:tcPr>
            <w:tcW w:w="3113" w:type="dxa"/>
            <w:vAlign w:val="center"/>
          </w:tcPr>
          <w:p w14:paraId="4EB156A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A62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44B899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30102</w:t>
            </w:r>
          </w:p>
        </w:tc>
        <w:tc>
          <w:tcPr>
            <w:tcW w:w="3111" w:type="dxa"/>
            <w:vAlign w:val="center"/>
          </w:tcPr>
          <w:p w14:paraId="7068650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津贴补贴</w:t>
            </w:r>
          </w:p>
        </w:tc>
        <w:tc>
          <w:tcPr>
            <w:tcW w:w="3111" w:type="dxa"/>
            <w:vAlign w:val="center"/>
          </w:tcPr>
          <w:p w14:paraId="4D8E2D2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487.21</w:t>
            </w:r>
          </w:p>
        </w:tc>
        <w:tc>
          <w:tcPr>
            <w:tcW w:w="3112" w:type="dxa"/>
            <w:vAlign w:val="center"/>
          </w:tcPr>
          <w:p w14:paraId="15F6057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487.21</w:t>
            </w:r>
          </w:p>
        </w:tc>
        <w:tc>
          <w:tcPr>
            <w:tcW w:w="3113" w:type="dxa"/>
            <w:vAlign w:val="center"/>
          </w:tcPr>
          <w:p w14:paraId="12A525C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02C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AFBF5B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30103</w:t>
            </w:r>
          </w:p>
        </w:tc>
        <w:tc>
          <w:tcPr>
            <w:tcW w:w="3111" w:type="dxa"/>
            <w:vAlign w:val="center"/>
          </w:tcPr>
          <w:p w14:paraId="50963E0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奖金</w:t>
            </w:r>
          </w:p>
        </w:tc>
        <w:tc>
          <w:tcPr>
            <w:tcW w:w="3111" w:type="dxa"/>
            <w:vAlign w:val="center"/>
          </w:tcPr>
          <w:p w14:paraId="0A7F6C8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955.64</w:t>
            </w:r>
          </w:p>
        </w:tc>
        <w:tc>
          <w:tcPr>
            <w:tcW w:w="3112" w:type="dxa"/>
            <w:vAlign w:val="center"/>
          </w:tcPr>
          <w:p w14:paraId="765DF89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955.64</w:t>
            </w:r>
          </w:p>
        </w:tc>
        <w:tc>
          <w:tcPr>
            <w:tcW w:w="3113" w:type="dxa"/>
            <w:vAlign w:val="center"/>
          </w:tcPr>
          <w:p w14:paraId="1854B17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004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9B1826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30108</w:t>
            </w:r>
          </w:p>
        </w:tc>
        <w:tc>
          <w:tcPr>
            <w:tcW w:w="3111" w:type="dxa"/>
            <w:vAlign w:val="center"/>
          </w:tcPr>
          <w:p w14:paraId="2E4353B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w:t>
            </w:r>
          </w:p>
        </w:tc>
        <w:tc>
          <w:tcPr>
            <w:tcW w:w="3111" w:type="dxa"/>
            <w:vAlign w:val="center"/>
          </w:tcPr>
          <w:p w14:paraId="0962E08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321.62</w:t>
            </w:r>
          </w:p>
        </w:tc>
        <w:tc>
          <w:tcPr>
            <w:tcW w:w="3112" w:type="dxa"/>
            <w:vAlign w:val="center"/>
          </w:tcPr>
          <w:p w14:paraId="3746B70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321.62</w:t>
            </w:r>
          </w:p>
        </w:tc>
        <w:tc>
          <w:tcPr>
            <w:tcW w:w="3113" w:type="dxa"/>
            <w:vAlign w:val="center"/>
          </w:tcPr>
          <w:p w14:paraId="7F80E62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B73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D83CF0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30109</w:t>
            </w:r>
          </w:p>
        </w:tc>
        <w:tc>
          <w:tcPr>
            <w:tcW w:w="3111" w:type="dxa"/>
            <w:vAlign w:val="center"/>
          </w:tcPr>
          <w:p w14:paraId="5E763ED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职业年金缴费</w:t>
            </w:r>
          </w:p>
        </w:tc>
        <w:tc>
          <w:tcPr>
            <w:tcW w:w="3111" w:type="dxa"/>
            <w:vAlign w:val="center"/>
          </w:tcPr>
          <w:p w14:paraId="57D5A53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160.81</w:t>
            </w:r>
          </w:p>
        </w:tc>
        <w:tc>
          <w:tcPr>
            <w:tcW w:w="3112" w:type="dxa"/>
            <w:vAlign w:val="center"/>
          </w:tcPr>
          <w:p w14:paraId="7EF6D83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160.81</w:t>
            </w:r>
          </w:p>
        </w:tc>
        <w:tc>
          <w:tcPr>
            <w:tcW w:w="3113" w:type="dxa"/>
            <w:vAlign w:val="center"/>
          </w:tcPr>
          <w:p w14:paraId="1CE48F7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91E6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AF1ADB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30110</w:t>
            </w:r>
          </w:p>
        </w:tc>
        <w:tc>
          <w:tcPr>
            <w:tcW w:w="3111" w:type="dxa"/>
            <w:vAlign w:val="center"/>
          </w:tcPr>
          <w:p w14:paraId="6DD2041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职工基本医疗保险缴费</w:t>
            </w:r>
          </w:p>
        </w:tc>
        <w:tc>
          <w:tcPr>
            <w:tcW w:w="3111" w:type="dxa"/>
            <w:vAlign w:val="center"/>
          </w:tcPr>
          <w:p w14:paraId="19E2AF4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128.65</w:t>
            </w:r>
          </w:p>
        </w:tc>
        <w:tc>
          <w:tcPr>
            <w:tcW w:w="3112" w:type="dxa"/>
            <w:vAlign w:val="center"/>
          </w:tcPr>
          <w:p w14:paraId="6E45F98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128.65</w:t>
            </w:r>
          </w:p>
        </w:tc>
        <w:tc>
          <w:tcPr>
            <w:tcW w:w="3113" w:type="dxa"/>
            <w:vAlign w:val="center"/>
          </w:tcPr>
          <w:p w14:paraId="6E1AF1A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FEE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541C00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30111</w:t>
            </w:r>
          </w:p>
        </w:tc>
        <w:tc>
          <w:tcPr>
            <w:tcW w:w="3111" w:type="dxa"/>
            <w:vAlign w:val="center"/>
          </w:tcPr>
          <w:p w14:paraId="198CC19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公务员医疗补助缴费</w:t>
            </w:r>
          </w:p>
        </w:tc>
        <w:tc>
          <w:tcPr>
            <w:tcW w:w="3111" w:type="dxa"/>
            <w:vAlign w:val="center"/>
          </w:tcPr>
          <w:p w14:paraId="2A7A87D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80.41</w:t>
            </w:r>
          </w:p>
        </w:tc>
        <w:tc>
          <w:tcPr>
            <w:tcW w:w="3112" w:type="dxa"/>
            <w:vAlign w:val="center"/>
          </w:tcPr>
          <w:p w14:paraId="2421341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80.41</w:t>
            </w:r>
          </w:p>
        </w:tc>
        <w:tc>
          <w:tcPr>
            <w:tcW w:w="3113" w:type="dxa"/>
            <w:vAlign w:val="center"/>
          </w:tcPr>
          <w:p w14:paraId="7014A8E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073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EB6C86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30112</w:t>
            </w:r>
          </w:p>
        </w:tc>
        <w:tc>
          <w:tcPr>
            <w:tcW w:w="3111" w:type="dxa"/>
            <w:vAlign w:val="center"/>
          </w:tcPr>
          <w:p w14:paraId="059FBA4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其他社会保障缴费</w:t>
            </w:r>
          </w:p>
        </w:tc>
        <w:tc>
          <w:tcPr>
            <w:tcW w:w="3111" w:type="dxa"/>
            <w:vAlign w:val="center"/>
          </w:tcPr>
          <w:p w14:paraId="3C061A2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4.90</w:t>
            </w:r>
          </w:p>
        </w:tc>
        <w:tc>
          <w:tcPr>
            <w:tcW w:w="3112" w:type="dxa"/>
            <w:vAlign w:val="center"/>
          </w:tcPr>
          <w:p w14:paraId="5268ACE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4.90</w:t>
            </w:r>
          </w:p>
        </w:tc>
        <w:tc>
          <w:tcPr>
            <w:tcW w:w="3113" w:type="dxa"/>
            <w:vAlign w:val="center"/>
          </w:tcPr>
          <w:p w14:paraId="0CF73BA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6BCD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2BE3E4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30113</w:t>
            </w:r>
          </w:p>
        </w:tc>
        <w:tc>
          <w:tcPr>
            <w:tcW w:w="3111" w:type="dxa"/>
            <w:vAlign w:val="center"/>
          </w:tcPr>
          <w:p w14:paraId="4758B67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3111" w:type="dxa"/>
            <w:vAlign w:val="center"/>
          </w:tcPr>
          <w:p w14:paraId="1049223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241.22</w:t>
            </w:r>
          </w:p>
        </w:tc>
        <w:tc>
          <w:tcPr>
            <w:tcW w:w="3112" w:type="dxa"/>
            <w:vAlign w:val="center"/>
          </w:tcPr>
          <w:p w14:paraId="6642009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241.22</w:t>
            </w:r>
          </w:p>
        </w:tc>
        <w:tc>
          <w:tcPr>
            <w:tcW w:w="3113" w:type="dxa"/>
            <w:vAlign w:val="center"/>
          </w:tcPr>
          <w:p w14:paraId="0D7936C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1539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91A344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30199</w:t>
            </w:r>
          </w:p>
        </w:tc>
        <w:tc>
          <w:tcPr>
            <w:tcW w:w="3111" w:type="dxa"/>
            <w:vAlign w:val="center"/>
          </w:tcPr>
          <w:p w14:paraId="0CBC922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其他工资福利支出</w:t>
            </w:r>
          </w:p>
        </w:tc>
        <w:tc>
          <w:tcPr>
            <w:tcW w:w="3111" w:type="dxa"/>
            <w:vAlign w:val="center"/>
          </w:tcPr>
          <w:p w14:paraId="6AA35F4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382.20</w:t>
            </w:r>
          </w:p>
        </w:tc>
        <w:tc>
          <w:tcPr>
            <w:tcW w:w="3112" w:type="dxa"/>
            <w:vAlign w:val="center"/>
          </w:tcPr>
          <w:p w14:paraId="36BF18C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382.20</w:t>
            </w:r>
          </w:p>
        </w:tc>
        <w:tc>
          <w:tcPr>
            <w:tcW w:w="3113" w:type="dxa"/>
            <w:vAlign w:val="center"/>
          </w:tcPr>
          <w:p w14:paraId="568AAC0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C411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5769B0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w:t>
            </w:r>
          </w:p>
        </w:tc>
        <w:tc>
          <w:tcPr>
            <w:tcW w:w="3111" w:type="dxa"/>
            <w:vAlign w:val="center"/>
          </w:tcPr>
          <w:p w14:paraId="473D92F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商品和服务支出</w:t>
            </w:r>
          </w:p>
        </w:tc>
        <w:tc>
          <w:tcPr>
            <w:tcW w:w="3111" w:type="dxa"/>
            <w:vAlign w:val="center"/>
          </w:tcPr>
          <w:p w14:paraId="1AA28FA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398.34</w:t>
            </w:r>
          </w:p>
        </w:tc>
        <w:tc>
          <w:tcPr>
            <w:tcW w:w="3112" w:type="dxa"/>
            <w:vAlign w:val="center"/>
          </w:tcPr>
          <w:p w14:paraId="6C18EAD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06DE387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398.34</w:t>
            </w:r>
          </w:p>
        </w:tc>
      </w:tr>
      <w:tr w14:paraId="50ED9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E4F217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30201</w:t>
            </w:r>
          </w:p>
        </w:tc>
        <w:tc>
          <w:tcPr>
            <w:tcW w:w="3111" w:type="dxa"/>
            <w:vAlign w:val="center"/>
          </w:tcPr>
          <w:p w14:paraId="0361647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办公费</w:t>
            </w:r>
          </w:p>
        </w:tc>
        <w:tc>
          <w:tcPr>
            <w:tcW w:w="3111" w:type="dxa"/>
            <w:vAlign w:val="center"/>
          </w:tcPr>
          <w:p w14:paraId="05BCEBC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32.40</w:t>
            </w:r>
          </w:p>
        </w:tc>
        <w:tc>
          <w:tcPr>
            <w:tcW w:w="3112" w:type="dxa"/>
            <w:vAlign w:val="center"/>
          </w:tcPr>
          <w:p w14:paraId="32EAE3A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1471EE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32.40</w:t>
            </w:r>
          </w:p>
        </w:tc>
      </w:tr>
      <w:tr w14:paraId="5A36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340662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30205</w:t>
            </w:r>
          </w:p>
        </w:tc>
        <w:tc>
          <w:tcPr>
            <w:tcW w:w="3111" w:type="dxa"/>
            <w:vAlign w:val="center"/>
          </w:tcPr>
          <w:p w14:paraId="0060088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水费</w:t>
            </w:r>
          </w:p>
        </w:tc>
        <w:tc>
          <w:tcPr>
            <w:tcW w:w="3111" w:type="dxa"/>
            <w:vAlign w:val="center"/>
          </w:tcPr>
          <w:p w14:paraId="51CF0CB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5.00</w:t>
            </w:r>
          </w:p>
        </w:tc>
        <w:tc>
          <w:tcPr>
            <w:tcW w:w="3112" w:type="dxa"/>
            <w:vAlign w:val="center"/>
          </w:tcPr>
          <w:p w14:paraId="262E429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5E8700D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5.00</w:t>
            </w:r>
          </w:p>
        </w:tc>
      </w:tr>
      <w:tr w14:paraId="08D4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8A7AF0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30206</w:t>
            </w:r>
          </w:p>
        </w:tc>
        <w:tc>
          <w:tcPr>
            <w:tcW w:w="3111" w:type="dxa"/>
            <w:vAlign w:val="center"/>
          </w:tcPr>
          <w:p w14:paraId="6EBB419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电费</w:t>
            </w:r>
          </w:p>
        </w:tc>
        <w:tc>
          <w:tcPr>
            <w:tcW w:w="3111" w:type="dxa"/>
            <w:vAlign w:val="center"/>
          </w:tcPr>
          <w:p w14:paraId="133FB18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45.00</w:t>
            </w:r>
          </w:p>
        </w:tc>
        <w:tc>
          <w:tcPr>
            <w:tcW w:w="3112" w:type="dxa"/>
            <w:vAlign w:val="center"/>
          </w:tcPr>
          <w:p w14:paraId="3F334A6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5CD19B6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45.00</w:t>
            </w:r>
          </w:p>
        </w:tc>
      </w:tr>
      <w:tr w14:paraId="5F9A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B1E08E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30207</w:t>
            </w:r>
          </w:p>
        </w:tc>
        <w:tc>
          <w:tcPr>
            <w:tcW w:w="3111" w:type="dxa"/>
            <w:vAlign w:val="center"/>
          </w:tcPr>
          <w:p w14:paraId="7FBA11B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邮电费</w:t>
            </w:r>
          </w:p>
        </w:tc>
        <w:tc>
          <w:tcPr>
            <w:tcW w:w="3111" w:type="dxa"/>
            <w:vAlign w:val="center"/>
          </w:tcPr>
          <w:p w14:paraId="11CB414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19.52</w:t>
            </w:r>
          </w:p>
        </w:tc>
        <w:tc>
          <w:tcPr>
            <w:tcW w:w="3112" w:type="dxa"/>
            <w:vAlign w:val="center"/>
          </w:tcPr>
          <w:p w14:paraId="0042E67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5B3AEEF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19.52</w:t>
            </w:r>
          </w:p>
        </w:tc>
      </w:tr>
      <w:tr w14:paraId="2A1B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305575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30215</w:t>
            </w:r>
          </w:p>
        </w:tc>
        <w:tc>
          <w:tcPr>
            <w:tcW w:w="3111" w:type="dxa"/>
            <w:vAlign w:val="center"/>
          </w:tcPr>
          <w:p w14:paraId="1182CDD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会议费</w:t>
            </w:r>
          </w:p>
        </w:tc>
        <w:tc>
          <w:tcPr>
            <w:tcW w:w="3111" w:type="dxa"/>
            <w:vAlign w:val="center"/>
          </w:tcPr>
          <w:p w14:paraId="5C4C541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216C937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A0A9DD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52F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A64AE5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30216</w:t>
            </w:r>
          </w:p>
        </w:tc>
        <w:tc>
          <w:tcPr>
            <w:tcW w:w="3111" w:type="dxa"/>
            <w:vAlign w:val="center"/>
          </w:tcPr>
          <w:p w14:paraId="2004926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培训费</w:t>
            </w:r>
          </w:p>
        </w:tc>
        <w:tc>
          <w:tcPr>
            <w:tcW w:w="3111" w:type="dxa"/>
            <w:vAlign w:val="center"/>
          </w:tcPr>
          <w:p w14:paraId="150A3F1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30.15</w:t>
            </w:r>
          </w:p>
        </w:tc>
        <w:tc>
          <w:tcPr>
            <w:tcW w:w="3112" w:type="dxa"/>
            <w:vAlign w:val="center"/>
          </w:tcPr>
          <w:p w14:paraId="691A6F9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DCD01E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30.15</w:t>
            </w:r>
          </w:p>
        </w:tc>
      </w:tr>
      <w:tr w14:paraId="5598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AE5DF7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30217</w:t>
            </w:r>
          </w:p>
        </w:tc>
        <w:tc>
          <w:tcPr>
            <w:tcW w:w="3111" w:type="dxa"/>
            <w:vAlign w:val="center"/>
          </w:tcPr>
          <w:p w14:paraId="552318A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公务接待费</w:t>
            </w:r>
          </w:p>
        </w:tc>
        <w:tc>
          <w:tcPr>
            <w:tcW w:w="3111" w:type="dxa"/>
            <w:vAlign w:val="center"/>
          </w:tcPr>
          <w:p w14:paraId="73B404D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3.00</w:t>
            </w:r>
          </w:p>
        </w:tc>
        <w:tc>
          <w:tcPr>
            <w:tcW w:w="3112" w:type="dxa"/>
            <w:vAlign w:val="center"/>
          </w:tcPr>
          <w:p w14:paraId="302A369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A1F021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3.00</w:t>
            </w:r>
          </w:p>
        </w:tc>
      </w:tr>
      <w:tr w14:paraId="524D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633B9B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30227</w:t>
            </w:r>
          </w:p>
        </w:tc>
        <w:tc>
          <w:tcPr>
            <w:tcW w:w="3111" w:type="dxa"/>
            <w:vAlign w:val="center"/>
          </w:tcPr>
          <w:p w14:paraId="2073A0A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委托业务费</w:t>
            </w:r>
          </w:p>
        </w:tc>
        <w:tc>
          <w:tcPr>
            <w:tcW w:w="3111" w:type="dxa"/>
            <w:vAlign w:val="center"/>
          </w:tcPr>
          <w:p w14:paraId="19D8D23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310D0AC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79184D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082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8500E4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30228</w:t>
            </w:r>
          </w:p>
        </w:tc>
        <w:tc>
          <w:tcPr>
            <w:tcW w:w="3111" w:type="dxa"/>
            <w:vAlign w:val="center"/>
          </w:tcPr>
          <w:p w14:paraId="6A0253C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工会经费</w:t>
            </w:r>
          </w:p>
        </w:tc>
        <w:tc>
          <w:tcPr>
            <w:tcW w:w="3111" w:type="dxa"/>
            <w:vAlign w:val="center"/>
          </w:tcPr>
          <w:p w14:paraId="09FE17A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40.20</w:t>
            </w:r>
          </w:p>
        </w:tc>
        <w:tc>
          <w:tcPr>
            <w:tcW w:w="3112" w:type="dxa"/>
            <w:vAlign w:val="center"/>
          </w:tcPr>
          <w:p w14:paraId="0E80A02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528709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40.20</w:t>
            </w:r>
          </w:p>
        </w:tc>
      </w:tr>
      <w:tr w14:paraId="00A0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78BF47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30229</w:t>
            </w:r>
          </w:p>
        </w:tc>
        <w:tc>
          <w:tcPr>
            <w:tcW w:w="3111" w:type="dxa"/>
            <w:vAlign w:val="center"/>
          </w:tcPr>
          <w:p w14:paraId="549CB70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福利费</w:t>
            </w:r>
          </w:p>
        </w:tc>
        <w:tc>
          <w:tcPr>
            <w:tcW w:w="3111" w:type="dxa"/>
            <w:vAlign w:val="center"/>
          </w:tcPr>
          <w:p w14:paraId="2DA5A6B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0.73</w:t>
            </w:r>
          </w:p>
        </w:tc>
        <w:tc>
          <w:tcPr>
            <w:tcW w:w="3112" w:type="dxa"/>
            <w:vAlign w:val="center"/>
          </w:tcPr>
          <w:p w14:paraId="1576004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3370EE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0.73</w:t>
            </w:r>
          </w:p>
        </w:tc>
      </w:tr>
      <w:tr w14:paraId="6E91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4680B3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30231</w:t>
            </w:r>
          </w:p>
        </w:tc>
        <w:tc>
          <w:tcPr>
            <w:tcW w:w="3111" w:type="dxa"/>
            <w:vAlign w:val="center"/>
          </w:tcPr>
          <w:p w14:paraId="3399A02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公务用车运行维护费</w:t>
            </w:r>
          </w:p>
        </w:tc>
        <w:tc>
          <w:tcPr>
            <w:tcW w:w="3111" w:type="dxa"/>
            <w:vAlign w:val="center"/>
          </w:tcPr>
          <w:p w14:paraId="6411464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40.00</w:t>
            </w:r>
          </w:p>
        </w:tc>
        <w:tc>
          <w:tcPr>
            <w:tcW w:w="3112" w:type="dxa"/>
            <w:vAlign w:val="center"/>
          </w:tcPr>
          <w:p w14:paraId="4E237D0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9ACB07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40.00</w:t>
            </w:r>
          </w:p>
        </w:tc>
      </w:tr>
      <w:tr w14:paraId="0E99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44481B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30239</w:t>
            </w:r>
          </w:p>
        </w:tc>
        <w:tc>
          <w:tcPr>
            <w:tcW w:w="3111" w:type="dxa"/>
            <w:vAlign w:val="center"/>
          </w:tcPr>
          <w:p w14:paraId="59DCE8D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其他交通费用</w:t>
            </w:r>
          </w:p>
        </w:tc>
        <w:tc>
          <w:tcPr>
            <w:tcW w:w="3111" w:type="dxa"/>
            <w:vAlign w:val="center"/>
          </w:tcPr>
          <w:p w14:paraId="7774703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125.40</w:t>
            </w:r>
          </w:p>
        </w:tc>
        <w:tc>
          <w:tcPr>
            <w:tcW w:w="3112" w:type="dxa"/>
            <w:vAlign w:val="center"/>
          </w:tcPr>
          <w:p w14:paraId="1ABE0EF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200D87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125.40</w:t>
            </w:r>
          </w:p>
        </w:tc>
      </w:tr>
      <w:tr w14:paraId="237B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68B7AE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30299</w:t>
            </w:r>
          </w:p>
        </w:tc>
        <w:tc>
          <w:tcPr>
            <w:tcW w:w="3111" w:type="dxa"/>
            <w:vAlign w:val="center"/>
          </w:tcPr>
          <w:p w14:paraId="25FA007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其他商品和服务支出</w:t>
            </w:r>
          </w:p>
        </w:tc>
        <w:tc>
          <w:tcPr>
            <w:tcW w:w="3111" w:type="dxa"/>
            <w:vAlign w:val="center"/>
          </w:tcPr>
          <w:p w14:paraId="7523B70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56.93</w:t>
            </w:r>
          </w:p>
        </w:tc>
        <w:tc>
          <w:tcPr>
            <w:tcW w:w="3112" w:type="dxa"/>
            <w:vAlign w:val="center"/>
          </w:tcPr>
          <w:p w14:paraId="7661BD1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927C69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56.93</w:t>
            </w:r>
          </w:p>
        </w:tc>
      </w:tr>
      <w:tr w14:paraId="2CC3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E5015A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w:t>
            </w:r>
          </w:p>
        </w:tc>
        <w:tc>
          <w:tcPr>
            <w:tcW w:w="3111" w:type="dxa"/>
            <w:vAlign w:val="center"/>
          </w:tcPr>
          <w:p w14:paraId="32F929B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对个人和家庭的补助</w:t>
            </w:r>
          </w:p>
        </w:tc>
        <w:tc>
          <w:tcPr>
            <w:tcW w:w="3111" w:type="dxa"/>
            <w:vAlign w:val="center"/>
          </w:tcPr>
          <w:p w14:paraId="4E75ECB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112.74</w:t>
            </w:r>
          </w:p>
        </w:tc>
        <w:tc>
          <w:tcPr>
            <w:tcW w:w="3112" w:type="dxa"/>
            <w:vAlign w:val="center"/>
          </w:tcPr>
          <w:p w14:paraId="6840825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112.74</w:t>
            </w:r>
          </w:p>
        </w:tc>
        <w:tc>
          <w:tcPr>
            <w:tcW w:w="3113" w:type="dxa"/>
            <w:vAlign w:val="center"/>
          </w:tcPr>
          <w:p w14:paraId="78A1B2D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198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F4444F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30302</w:t>
            </w:r>
          </w:p>
        </w:tc>
        <w:tc>
          <w:tcPr>
            <w:tcW w:w="3111" w:type="dxa"/>
            <w:vAlign w:val="center"/>
          </w:tcPr>
          <w:p w14:paraId="0102B4D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退休费</w:t>
            </w:r>
          </w:p>
        </w:tc>
        <w:tc>
          <w:tcPr>
            <w:tcW w:w="3111" w:type="dxa"/>
            <w:vAlign w:val="center"/>
          </w:tcPr>
          <w:p w14:paraId="277D2B4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112.74</w:t>
            </w:r>
          </w:p>
        </w:tc>
        <w:tc>
          <w:tcPr>
            <w:tcW w:w="3112" w:type="dxa"/>
            <w:vAlign w:val="center"/>
          </w:tcPr>
          <w:p w14:paraId="43CF68B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112.74</w:t>
            </w:r>
          </w:p>
        </w:tc>
        <w:tc>
          <w:tcPr>
            <w:tcW w:w="3113" w:type="dxa"/>
            <w:vAlign w:val="center"/>
          </w:tcPr>
          <w:p w14:paraId="2CA01B1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bl>
    <w:p w14:paraId="69DAA948">
      <w:pPr>
        <w:jc w:val="left"/>
        <w:rPr>
          <w:lang w:eastAsia="zh-CN"/>
        </w:rPr>
      </w:pPr>
      <w:r>
        <w:rPr>
          <w:rFonts w:hint="eastAsia" w:ascii="宋体" w:hAnsi="宋体" w:eastAsia="宋体" w:cs="宋体"/>
          <w:sz w:val="17"/>
          <w:szCs w:val="17"/>
        </w:rPr>
        <w:t>注：本报表金额单位转换时可能存在四舍五入尾数误差。</w:t>
      </w:r>
      <w:r>
        <w:br w:type="page"/>
      </w:r>
    </w:p>
    <w:p w14:paraId="76B5E8FA">
      <w:pPr>
        <w:pStyle w:val="23"/>
        <w:keepNext/>
        <w:keepLines/>
        <w:spacing w:after="240"/>
        <w:jc w:val="left"/>
        <w:rPr>
          <w:rFonts w:hint="default"/>
          <w:sz w:val="28"/>
          <w:szCs w:val="28"/>
          <w:lang w:val="en-US" w:eastAsia="zh-CN"/>
        </w:rPr>
      </w:pPr>
      <w:bookmarkStart w:id="32" w:name="bookmark67"/>
      <w:bookmarkStart w:id="33" w:name="bookmark65"/>
      <w:bookmarkStart w:id="34" w:name="bookmark66"/>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七</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财政拨款“三公”经费、会议费和培训费</w:t>
      </w:r>
    </w:p>
    <w:p w14:paraId="76F75ED0">
      <w:pPr>
        <w:pStyle w:val="23"/>
        <w:keepNext/>
        <w:keepLines/>
        <w:spacing w:after="240"/>
        <w:jc w:val="center"/>
        <w:rPr>
          <w:rFonts w:hint="default"/>
          <w:sz w:val="28"/>
          <w:szCs w:val="28"/>
          <w:lang w:val="en-US" w:eastAsia="zh-CN"/>
        </w:rPr>
      </w:pPr>
      <w:r>
        <w:rPr>
          <w:rFonts w:hint="default"/>
          <w:sz w:val="28"/>
          <w:szCs w:val="28"/>
          <w:lang w:val="en-US" w:eastAsia="zh-CN"/>
        </w:rPr>
        <w:t>财政拨款“三公”经费、会议费和培训费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21"/>
        <w:gridCol w:w="1142"/>
        <w:gridCol w:w="1146"/>
        <w:gridCol w:w="1159"/>
        <w:gridCol w:w="1153"/>
        <w:gridCol w:w="1155"/>
        <w:gridCol w:w="15"/>
        <w:gridCol w:w="1160"/>
        <w:gridCol w:w="1156"/>
        <w:gridCol w:w="1145"/>
        <w:gridCol w:w="1145"/>
        <w:gridCol w:w="1145"/>
        <w:gridCol w:w="1152"/>
      </w:tblGrid>
      <w:tr w14:paraId="6B3B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654" w:type="dxa"/>
            <w:gridSpan w:val="8"/>
            <w:tcBorders>
              <w:top w:val="nil"/>
              <w:left w:val="nil"/>
              <w:right w:val="nil"/>
            </w:tcBorders>
          </w:tcPr>
          <w:p w14:paraId="3FDB7596">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1160" w:type="dxa"/>
            <w:tcBorders>
              <w:top w:val="nil"/>
              <w:left w:val="nil"/>
              <w:right w:val="nil"/>
            </w:tcBorders>
          </w:tcPr>
          <w:p w14:paraId="675E1BA3">
            <w:pPr>
              <w:pStyle w:val="27"/>
              <w:bidi w:val="0"/>
              <w:jc w:val="both"/>
              <w:rPr>
                <w:rFonts w:hint="eastAsia" w:ascii="宋体" w:hAnsi="宋体" w:eastAsia="宋体" w:cs="宋体"/>
                <w:sz w:val="16"/>
                <w:szCs w:val="16"/>
                <w:vertAlign w:val="baseline"/>
                <w:lang w:eastAsia="zh-CN"/>
              </w:rPr>
            </w:pPr>
          </w:p>
        </w:tc>
        <w:tc>
          <w:tcPr>
            <w:tcW w:w="1156" w:type="dxa"/>
            <w:tcBorders>
              <w:top w:val="nil"/>
              <w:left w:val="nil"/>
              <w:right w:val="nil"/>
            </w:tcBorders>
          </w:tcPr>
          <w:p w14:paraId="2D5D1BFE">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01E23512">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34494BBA">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329E4EE0">
            <w:pPr>
              <w:pStyle w:val="27"/>
              <w:bidi w:val="0"/>
              <w:ind w:firstLine="480" w:firstLineChars="300"/>
              <w:jc w:val="both"/>
              <w:rPr>
                <w:rFonts w:hint="eastAsia" w:ascii="宋体" w:hAnsi="宋体" w:eastAsia="宋体" w:cs="宋体"/>
                <w:sz w:val="16"/>
                <w:szCs w:val="16"/>
                <w:vertAlign w:val="baseline"/>
                <w:lang w:eastAsia="zh-CN"/>
              </w:rPr>
            </w:pPr>
          </w:p>
        </w:tc>
        <w:tc>
          <w:tcPr>
            <w:tcW w:w="1152" w:type="dxa"/>
            <w:tcBorders>
              <w:top w:val="nil"/>
              <w:left w:val="nil"/>
              <w:right w:val="nil"/>
            </w:tcBorders>
          </w:tcPr>
          <w:p w14:paraId="1800EFCC">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468A8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Merge w:val="restart"/>
            <w:vAlign w:val="center"/>
          </w:tcPr>
          <w:p w14:paraId="222D28BC">
            <w:pPr>
              <w:pStyle w:val="27"/>
              <w:bidi w:val="0"/>
              <w:jc w:val="center"/>
              <w:rPr>
                <w:rFonts w:hint="eastAsia"/>
                <w:vertAlign w:val="baseline"/>
                <w:lang w:val="en-US" w:eastAsia="zh-CN"/>
              </w:rPr>
            </w:pPr>
            <w:r>
              <w:rPr>
                <w:rFonts w:hint="eastAsia"/>
                <w:sz w:val="17"/>
                <w:szCs w:val="17"/>
                <w:lang w:val="en-US" w:eastAsia="zh-CN"/>
              </w:rPr>
              <w:t>部</w:t>
            </w:r>
            <w:r>
              <w:rPr>
                <w:sz w:val="17"/>
                <w:szCs w:val="17"/>
              </w:rPr>
              <w:t>门（单位）代码</w:t>
            </w:r>
          </w:p>
        </w:tc>
        <w:tc>
          <w:tcPr>
            <w:tcW w:w="1321" w:type="dxa"/>
            <w:vMerge w:val="restart"/>
            <w:vAlign w:val="center"/>
          </w:tcPr>
          <w:p w14:paraId="5C42291A">
            <w:pPr>
              <w:pStyle w:val="27"/>
              <w:bidi w:val="0"/>
              <w:jc w:val="center"/>
              <w:rPr>
                <w:rFonts w:hint="eastAsia"/>
                <w:vertAlign w:val="baseline"/>
                <w:lang w:val="en-US" w:eastAsia="zh-CN"/>
              </w:rPr>
            </w:pPr>
            <w:r>
              <w:rPr>
                <w:sz w:val="17"/>
                <w:szCs w:val="17"/>
              </w:rPr>
              <w:t>部门（单位）名称</w:t>
            </w:r>
          </w:p>
        </w:tc>
        <w:tc>
          <w:tcPr>
            <w:tcW w:w="1142" w:type="dxa"/>
            <w:vMerge w:val="restart"/>
            <w:vAlign w:val="center"/>
          </w:tcPr>
          <w:p w14:paraId="04D18394">
            <w:pPr>
              <w:pStyle w:val="27"/>
              <w:bidi w:val="0"/>
              <w:jc w:val="center"/>
              <w:rPr>
                <w:rFonts w:hint="eastAsia" w:eastAsia="宋体"/>
                <w:sz w:val="17"/>
                <w:szCs w:val="17"/>
                <w:lang w:val="en-US" w:eastAsia="zh-CN"/>
              </w:rPr>
            </w:pPr>
            <w:r>
              <w:rPr>
                <w:rFonts w:hint="eastAsia"/>
                <w:sz w:val="17"/>
                <w:szCs w:val="17"/>
                <w:lang w:val="en-US" w:eastAsia="zh-CN"/>
              </w:rPr>
              <w:t>总计</w:t>
            </w:r>
          </w:p>
        </w:tc>
        <w:tc>
          <w:tcPr>
            <w:tcW w:w="6944" w:type="dxa"/>
            <w:gridSpan w:val="7"/>
            <w:vAlign w:val="center"/>
          </w:tcPr>
          <w:p w14:paraId="03BAE3E6">
            <w:pPr>
              <w:pStyle w:val="27"/>
              <w:bidi w:val="0"/>
              <w:jc w:val="center"/>
              <w:rPr>
                <w:rFonts w:hint="eastAsia"/>
                <w:vertAlign w:val="baseline"/>
                <w:lang w:val="en-US" w:eastAsia="zh-CN"/>
              </w:rPr>
            </w:pPr>
            <w:r>
              <w:rPr>
                <w:sz w:val="17"/>
                <w:szCs w:val="17"/>
                <w:lang w:val="zh-CN" w:eastAsia="zh-CN" w:bidi="zh-CN"/>
              </w:rPr>
              <w:t>“三</w:t>
            </w:r>
            <w:r>
              <w:rPr>
                <w:sz w:val="17"/>
                <w:szCs w:val="17"/>
              </w:rPr>
              <w:t>公”经费</w:t>
            </w:r>
          </w:p>
        </w:tc>
        <w:tc>
          <w:tcPr>
            <w:tcW w:w="1145" w:type="dxa"/>
            <w:vMerge w:val="restart"/>
            <w:vAlign w:val="center"/>
          </w:tcPr>
          <w:p w14:paraId="7AA2E8DD">
            <w:pPr>
              <w:pStyle w:val="27"/>
              <w:bidi w:val="0"/>
              <w:jc w:val="center"/>
              <w:rPr>
                <w:rFonts w:hint="default"/>
                <w:sz w:val="17"/>
                <w:szCs w:val="17"/>
                <w:lang w:val="en-US" w:eastAsia="zh-CN" w:bidi="zh-CN"/>
              </w:rPr>
            </w:pPr>
            <w:r>
              <w:rPr>
                <w:rFonts w:hint="eastAsia"/>
                <w:sz w:val="17"/>
                <w:szCs w:val="17"/>
                <w:lang w:val="en-US" w:eastAsia="zh-CN" w:bidi="zh-CN"/>
              </w:rPr>
              <w:t>会议费</w:t>
            </w:r>
          </w:p>
        </w:tc>
        <w:tc>
          <w:tcPr>
            <w:tcW w:w="3442" w:type="dxa"/>
            <w:gridSpan w:val="3"/>
            <w:vMerge w:val="restart"/>
            <w:vAlign w:val="center"/>
          </w:tcPr>
          <w:p w14:paraId="6031AF1B">
            <w:pPr>
              <w:pStyle w:val="27"/>
              <w:bidi w:val="0"/>
              <w:jc w:val="center"/>
              <w:rPr>
                <w:sz w:val="17"/>
                <w:szCs w:val="17"/>
                <w:lang w:val="zh-CN" w:eastAsia="zh-CN" w:bidi="zh-CN"/>
              </w:rPr>
            </w:pPr>
            <w:r>
              <w:rPr>
                <w:rFonts w:hint="eastAsia"/>
                <w:sz w:val="17"/>
                <w:szCs w:val="17"/>
                <w:lang w:val="en-US" w:eastAsia="zh-CN" w:bidi="zh-CN"/>
              </w:rPr>
              <w:t>培训费</w:t>
            </w:r>
          </w:p>
        </w:tc>
      </w:tr>
      <w:tr w14:paraId="2E51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Merge w:val="continue"/>
            <w:vAlign w:val="center"/>
          </w:tcPr>
          <w:p w14:paraId="22DD01F1">
            <w:pPr>
              <w:pStyle w:val="27"/>
              <w:bidi w:val="0"/>
              <w:jc w:val="center"/>
              <w:rPr>
                <w:rFonts w:hint="eastAsia"/>
                <w:vertAlign w:val="baseline"/>
                <w:lang w:val="en-US" w:eastAsia="zh-CN"/>
              </w:rPr>
            </w:pPr>
          </w:p>
        </w:tc>
        <w:tc>
          <w:tcPr>
            <w:tcW w:w="1321" w:type="dxa"/>
            <w:vMerge w:val="continue"/>
            <w:vAlign w:val="center"/>
          </w:tcPr>
          <w:p w14:paraId="4468D71F">
            <w:pPr>
              <w:pStyle w:val="27"/>
              <w:bidi w:val="0"/>
              <w:jc w:val="center"/>
              <w:rPr>
                <w:rFonts w:hint="eastAsia"/>
                <w:vertAlign w:val="baseline"/>
                <w:lang w:val="en-US" w:eastAsia="zh-CN"/>
              </w:rPr>
            </w:pPr>
          </w:p>
        </w:tc>
        <w:tc>
          <w:tcPr>
            <w:tcW w:w="1142" w:type="dxa"/>
            <w:vMerge w:val="continue"/>
            <w:vAlign w:val="center"/>
          </w:tcPr>
          <w:p w14:paraId="02207E7E">
            <w:pPr>
              <w:pStyle w:val="27"/>
              <w:bidi w:val="0"/>
              <w:jc w:val="center"/>
              <w:rPr>
                <w:rFonts w:hint="eastAsia"/>
                <w:vertAlign w:val="baseline"/>
                <w:lang w:val="en-US" w:eastAsia="zh-CN"/>
              </w:rPr>
            </w:pPr>
          </w:p>
        </w:tc>
        <w:tc>
          <w:tcPr>
            <w:tcW w:w="1146" w:type="dxa"/>
            <w:vMerge w:val="restart"/>
            <w:vAlign w:val="center"/>
          </w:tcPr>
          <w:p w14:paraId="2F27922D">
            <w:pPr>
              <w:pStyle w:val="27"/>
              <w:bidi w:val="0"/>
              <w:jc w:val="center"/>
              <w:rPr>
                <w:rFonts w:hint="eastAsia"/>
                <w:vertAlign w:val="baseline"/>
                <w:lang w:val="en-US" w:eastAsia="zh-CN"/>
              </w:rPr>
            </w:pPr>
            <w:r>
              <w:rPr>
                <w:sz w:val="17"/>
                <w:szCs w:val="17"/>
              </w:rPr>
              <w:t>合计</w:t>
            </w:r>
          </w:p>
        </w:tc>
        <w:tc>
          <w:tcPr>
            <w:tcW w:w="1159" w:type="dxa"/>
            <w:vMerge w:val="restart"/>
            <w:vAlign w:val="center"/>
          </w:tcPr>
          <w:p w14:paraId="1F66BF2D">
            <w:pPr>
              <w:pStyle w:val="27"/>
              <w:bidi w:val="0"/>
              <w:jc w:val="center"/>
              <w:rPr>
                <w:rFonts w:hint="eastAsia"/>
                <w:vertAlign w:val="baseline"/>
                <w:lang w:val="en-US" w:eastAsia="zh-CN"/>
              </w:rPr>
            </w:pPr>
            <w:r>
              <w:rPr>
                <w:sz w:val="17"/>
                <w:szCs w:val="17"/>
              </w:rPr>
              <w:t>因公出国（境）费</w:t>
            </w:r>
          </w:p>
        </w:tc>
        <w:tc>
          <w:tcPr>
            <w:tcW w:w="3483" w:type="dxa"/>
            <w:gridSpan w:val="4"/>
            <w:vAlign w:val="center"/>
          </w:tcPr>
          <w:p w14:paraId="7E47CB37">
            <w:pPr>
              <w:pStyle w:val="27"/>
              <w:bidi w:val="0"/>
              <w:jc w:val="center"/>
              <w:rPr>
                <w:rFonts w:hint="eastAsia"/>
                <w:vertAlign w:val="baseline"/>
                <w:lang w:val="en-US" w:eastAsia="zh-CN"/>
              </w:rPr>
            </w:pPr>
            <w:r>
              <w:rPr>
                <w:sz w:val="17"/>
                <w:szCs w:val="17"/>
              </w:rPr>
              <w:t>公务用车购置及运行维护费</w:t>
            </w:r>
          </w:p>
        </w:tc>
        <w:tc>
          <w:tcPr>
            <w:tcW w:w="1156" w:type="dxa"/>
            <w:vMerge w:val="restart"/>
            <w:vAlign w:val="center"/>
          </w:tcPr>
          <w:p w14:paraId="003A7FFD">
            <w:pPr>
              <w:pStyle w:val="27"/>
              <w:bidi w:val="0"/>
              <w:jc w:val="center"/>
              <w:rPr>
                <w:rFonts w:hint="eastAsia"/>
                <w:vertAlign w:val="baseline"/>
                <w:lang w:val="en-US" w:eastAsia="zh-CN"/>
              </w:rPr>
            </w:pPr>
            <w:r>
              <w:rPr>
                <w:sz w:val="17"/>
                <w:szCs w:val="17"/>
              </w:rPr>
              <w:t>公务接待费</w:t>
            </w:r>
          </w:p>
        </w:tc>
        <w:tc>
          <w:tcPr>
            <w:tcW w:w="1145" w:type="dxa"/>
            <w:vMerge w:val="continue"/>
            <w:vAlign w:val="center"/>
          </w:tcPr>
          <w:p w14:paraId="48E3B44B">
            <w:pPr>
              <w:pStyle w:val="27"/>
              <w:bidi w:val="0"/>
              <w:jc w:val="center"/>
              <w:rPr>
                <w:sz w:val="17"/>
                <w:szCs w:val="17"/>
              </w:rPr>
            </w:pPr>
          </w:p>
        </w:tc>
        <w:tc>
          <w:tcPr>
            <w:tcW w:w="3442" w:type="dxa"/>
            <w:gridSpan w:val="3"/>
            <w:vMerge w:val="continue"/>
            <w:vAlign w:val="center"/>
          </w:tcPr>
          <w:p w14:paraId="6FD84888">
            <w:pPr>
              <w:pStyle w:val="27"/>
              <w:bidi w:val="0"/>
              <w:jc w:val="center"/>
              <w:rPr>
                <w:sz w:val="17"/>
                <w:szCs w:val="17"/>
              </w:rPr>
            </w:pPr>
          </w:p>
        </w:tc>
      </w:tr>
      <w:tr w14:paraId="6B4A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Merge w:val="continue"/>
            <w:vAlign w:val="center"/>
          </w:tcPr>
          <w:p w14:paraId="5E00D00E">
            <w:pPr>
              <w:pStyle w:val="27"/>
              <w:bidi w:val="0"/>
              <w:jc w:val="center"/>
              <w:rPr>
                <w:rFonts w:hint="eastAsia"/>
                <w:vertAlign w:val="baseline"/>
                <w:lang w:val="en-US" w:eastAsia="zh-CN"/>
              </w:rPr>
            </w:pPr>
          </w:p>
        </w:tc>
        <w:tc>
          <w:tcPr>
            <w:tcW w:w="1321" w:type="dxa"/>
            <w:vMerge w:val="continue"/>
            <w:vAlign w:val="center"/>
          </w:tcPr>
          <w:p w14:paraId="39CA7A2F">
            <w:pPr>
              <w:pStyle w:val="27"/>
              <w:bidi w:val="0"/>
              <w:jc w:val="center"/>
              <w:rPr>
                <w:rFonts w:hint="eastAsia"/>
                <w:vertAlign w:val="baseline"/>
                <w:lang w:val="en-US" w:eastAsia="zh-CN"/>
              </w:rPr>
            </w:pPr>
          </w:p>
        </w:tc>
        <w:tc>
          <w:tcPr>
            <w:tcW w:w="1142" w:type="dxa"/>
            <w:vMerge w:val="continue"/>
            <w:vAlign w:val="center"/>
          </w:tcPr>
          <w:p w14:paraId="352FDDCF">
            <w:pPr>
              <w:pStyle w:val="27"/>
              <w:bidi w:val="0"/>
              <w:jc w:val="center"/>
              <w:rPr>
                <w:rFonts w:hint="eastAsia"/>
                <w:vertAlign w:val="baseline"/>
                <w:lang w:val="en-US" w:eastAsia="zh-CN"/>
              </w:rPr>
            </w:pPr>
          </w:p>
        </w:tc>
        <w:tc>
          <w:tcPr>
            <w:tcW w:w="1146" w:type="dxa"/>
            <w:vMerge w:val="continue"/>
            <w:vAlign w:val="center"/>
          </w:tcPr>
          <w:p w14:paraId="52442CB1">
            <w:pPr>
              <w:pStyle w:val="27"/>
              <w:bidi w:val="0"/>
              <w:jc w:val="center"/>
              <w:rPr>
                <w:rFonts w:hint="eastAsia"/>
                <w:vertAlign w:val="baseline"/>
                <w:lang w:val="en-US" w:eastAsia="zh-CN"/>
              </w:rPr>
            </w:pPr>
          </w:p>
        </w:tc>
        <w:tc>
          <w:tcPr>
            <w:tcW w:w="1159" w:type="dxa"/>
            <w:vMerge w:val="continue"/>
            <w:vAlign w:val="center"/>
          </w:tcPr>
          <w:p w14:paraId="48F899D3">
            <w:pPr>
              <w:pStyle w:val="27"/>
              <w:bidi w:val="0"/>
              <w:jc w:val="center"/>
              <w:rPr>
                <w:rFonts w:hint="eastAsia"/>
                <w:vertAlign w:val="baseline"/>
                <w:lang w:val="en-US" w:eastAsia="zh-CN"/>
              </w:rPr>
            </w:pPr>
          </w:p>
        </w:tc>
        <w:tc>
          <w:tcPr>
            <w:tcW w:w="1153" w:type="dxa"/>
            <w:vAlign w:val="center"/>
          </w:tcPr>
          <w:p w14:paraId="40949F28">
            <w:pPr>
              <w:pStyle w:val="25"/>
              <w:spacing w:line="240" w:lineRule="auto"/>
              <w:ind w:firstLine="0" w:firstLineChars="0"/>
              <w:jc w:val="center"/>
              <w:rPr>
                <w:rFonts w:hint="eastAsia"/>
                <w:vertAlign w:val="baseline"/>
                <w:lang w:val="en-US" w:eastAsia="zh-CN"/>
              </w:rPr>
            </w:pPr>
            <w:r>
              <w:rPr>
                <w:sz w:val="17"/>
                <w:szCs w:val="17"/>
              </w:rPr>
              <w:t>小计</w:t>
            </w:r>
          </w:p>
        </w:tc>
        <w:tc>
          <w:tcPr>
            <w:tcW w:w="1155" w:type="dxa"/>
            <w:vAlign w:val="center"/>
          </w:tcPr>
          <w:p w14:paraId="50A6FC31">
            <w:pPr>
              <w:pStyle w:val="25"/>
              <w:spacing w:line="240" w:lineRule="auto"/>
              <w:ind w:left="0" w:leftChars="0" w:firstLine="0" w:firstLineChars="0"/>
              <w:jc w:val="center"/>
              <w:rPr>
                <w:rFonts w:hint="eastAsia"/>
                <w:vertAlign w:val="baseline"/>
                <w:lang w:val="en-US" w:eastAsia="zh-CN"/>
              </w:rPr>
            </w:pPr>
            <w:r>
              <w:rPr>
                <w:sz w:val="17"/>
                <w:szCs w:val="17"/>
              </w:rPr>
              <w:t>公务用车运行维护费</w:t>
            </w:r>
          </w:p>
        </w:tc>
        <w:tc>
          <w:tcPr>
            <w:tcW w:w="1175" w:type="dxa"/>
            <w:gridSpan w:val="2"/>
            <w:vAlign w:val="center"/>
          </w:tcPr>
          <w:p w14:paraId="03D8F14E">
            <w:pPr>
              <w:pStyle w:val="25"/>
              <w:spacing w:line="240" w:lineRule="auto"/>
              <w:ind w:left="0" w:leftChars="0" w:firstLine="0" w:firstLineChars="0"/>
              <w:jc w:val="center"/>
              <w:rPr>
                <w:rFonts w:hint="eastAsia"/>
                <w:vertAlign w:val="baseline"/>
                <w:lang w:val="en-US" w:eastAsia="zh-CN"/>
              </w:rPr>
            </w:pPr>
            <w:r>
              <w:rPr>
                <w:sz w:val="17"/>
                <w:szCs w:val="17"/>
              </w:rPr>
              <w:t>公务用车购置费</w:t>
            </w:r>
          </w:p>
        </w:tc>
        <w:tc>
          <w:tcPr>
            <w:tcW w:w="1156" w:type="dxa"/>
            <w:vMerge w:val="continue"/>
            <w:vAlign w:val="center"/>
          </w:tcPr>
          <w:p w14:paraId="51F1A10C">
            <w:pPr>
              <w:pStyle w:val="27"/>
              <w:bidi w:val="0"/>
              <w:jc w:val="center"/>
              <w:rPr>
                <w:rFonts w:hint="eastAsia"/>
                <w:vertAlign w:val="baseline"/>
                <w:lang w:val="en-US" w:eastAsia="zh-CN"/>
              </w:rPr>
            </w:pPr>
          </w:p>
        </w:tc>
        <w:tc>
          <w:tcPr>
            <w:tcW w:w="1145" w:type="dxa"/>
            <w:vMerge w:val="continue"/>
            <w:vAlign w:val="center"/>
          </w:tcPr>
          <w:p w14:paraId="398052DE">
            <w:pPr>
              <w:pStyle w:val="27"/>
              <w:bidi w:val="0"/>
              <w:jc w:val="center"/>
              <w:rPr>
                <w:rFonts w:hint="eastAsia"/>
                <w:vertAlign w:val="baseline"/>
                <w:lang w:val="en-US" w:eastAsia="zh-CN"/>
              </w:rPr>
            </w:pPr>
          </w:p>
        </w:tc>
        <w:tc>
          <w:tcPr>
            <w:tcW w:w="1145" w:type="dxa"/>
            <w:vAlign w:val="center"/>
          </w:tcPr>
          <w:p w14:paraId="2103C696">
            <w:pPr>
              <w:pStyle w:val="27"/>
              <w:bidi w:val="0"/>
              <w:jc w:val="center"/>
              <w:rPr>
                <w:rFonts w:hint="default"/>
                <w:vertAlign w:val="baseline"/>
                <w:lang w:val="en-US" w:eastAsia="zh-CN"/>
              </w:rPr>
            </w:pPr>
            <w:r>
              <w:rPr>
                <w:rFonts w:hint="eastAsia"/>
                <w:vertAlign w:val="baseline"/>
                <w:lang w:val="en-US" w:eastAsia="zh-CN"/>
              </w:rPr>
              <w:t>小计</w:t>
            </w:r>
          </w:p>
        </w:tc>
        <w:tc>
          <w:tcPr>
            <w:tcW w:w="1145" w:type="dxa"/>
            <w:vAlign w:val="center"/>
          </w:tcPr>
          <w:p w14:paraId="0CDD2012">
            <w:pPr>
              <w:pStyle w:val="27"/>
              <w:bidi w:val="0"/>
              <w:jc w:val="center"/>
              <w:rPr>
                <w:rFonts w:hint="default"/>
                <w:vertAlign w:val="baseline"/>
                <w:lang w:val="en-US" w:eastAsia="zh-CN"/>
              </w:rPr>
            </w:pPr>
            <w:r>
              <w:rPr>
                <w:rFonts w:hint="eastAsia"/>
                <w:vertAlign w:val="baseline"/>
                <w:lang w:val="en-US" w:eastAsia="zh-CN"/>
              </w:rPr>
              <w:t>本级资金安排</w:t>
            </w:r>
          </w:p>
        </w:tc>
        <w:tc>
          <w:tcPr>
            <w:tcW w:w="1152" w:type="dxa"/>
            <w:vAlign w:val="center"/>
          </w:tcPr>
          <w:p w14:paraId="0ED7A08A">
            <w:pPr>
              <w:pStyle w:val="27"/>
              <w:bidi w:val="0"/>
              <w:jc w:val="center"/>
              <w:rPr>
                <w:rFonts w:hint="default"/>
                <w:vertAlign w:val="baseline"/>
                <w:lang w:val="en-US" w:eastAsia="zh-CN"/>
              </w:rPr>
            </w:pPr>
            <w:r>
              <w:rPr>
                <w:rFonts w:hint="eastAsia"/>
                <w:vertAlign w:val="baseline"/>
                <w:lang w:val="en-US" w:eastAsia="zh-CN"/>
              </w:rPr>
              <w:t>上级补助资金安排</w:t>
            </w:r>
          </w:p>
        </w:tc>
      </w:tr>
      <w:tr w14:paraId="5D78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Align w:val="center"/>
          </w:tcPr>
          <w:p w14:paraId="42AEA0AA">
            <w:pPr>
              <w:jc w:val="center"/>
              <w:rPr>
                <w:rFonts w:hint="eastAsia"/>
                <w:vertAlign w:val="baseline"/>
                <w:lang w:val="en-US" w:eastAsia="zh-CN"/>
              </w:rPr>
            </w:pPr>
          </w:p>
        </w:tc>
        <w:tc>
          <w:tcPr>
            <w:tcW w:w="1321" w:type="dxa"/>
            <w:vAlign w:val="center"/>
          </w:tcPr>
          <w:p w14:paraId="73E97BDC">
            <w:pPr>
              <w:jc w:val="center"/>
              <w:rPr>
                <w:rFonts w:hint="eastAsia"/>
                <w:vertAlign w:val="baseline"/>
                <w:lang w:val="en-US" w:eastAsia="zh-CN"/>
              </w:rPr>
            </w:pPr>
          </w:p>
        </w:tc>
        <w:tc>
          <w:tcPr>
            <w:tcW w:w="1142" w:type="dxa"/>
            <w:shd w:val="clear" w:color="auto" w:fill="auto"/>
            <w:vAlign w:val="center"/>
          </w:tcPr>
          <w:p w14:paraId="540B4CE6">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1</w:t>
            </w:r>
          </w:p>
        </w:tc>
        <w:tc>
          <w:tcPr>
            <w:tcW w:w="1146" w:type="dxa"/>
            <w:shd w:val="clear" w:color="auto" w:fill="auto"/>
            <w:vAlign w:val="center"/>
          </w:tcPr>
          <w:p w14:paraId="70889B1F">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2</w:t>
            </w:r>
          </w:p>
        </w:tc>
        <w:tc>
          <w:tcPr>
            <w:tcW w:w="1159" w:type="dxa"/>
            <w:shd w:val="clear" w:color="auto" w:fill="auto"/>
            <w:vAlign w:val="center"/>
          </w:tcPr>
          <w:p w14:paraId="41FEA116">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3</w:t>
            </w:r>
          </w:p>
        </w:tc>
        <w:tc>
          <w:tcPr>
            <w:tcW w:w="1153" w:type="dxa"/>
            <w:shd w:val="clear" w:color="auto" w:fill="auto"/>
            <w:vAlign w:val="center"/>
          </w:tcPr>
          <w:p w14:paraId="46E05907">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4</w:t>
            </w:r>
          </w:p>
        </w:tc>
        <w:tc>
          <w:tcPr>
            <w:tcW w:w="1155" w:type="dxa"/>
            <w:shd w:val="clear" w:color="auto" w:fill="auto"/>
            <w:vAlign w:val="center"/>
          </w:tcPr>
          <w:p w14:paraId="50089CE2">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5</w:t>
            </w:r>
          </w:p>
        </w:tc>
        <w:tc>
          <w:tcPr>
            <w:tcW w:w="1175" w:type="dxa"/>
            <w:gridSpan w:val="2"/>
            <w:shd w:val="clear" w:color="auto" w:fill="auto"/>
            <w:vAlign w:val="center"/>
          </w:tcPr>
          <w:p w14:paraId="5AAF0E59">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ascii="Times New Roman" w:hAnsi="Times New Roman" w:eastAsia="Times New Roman" w:cs="Times New Roman"/>
                <w:b/>
                <w:bCs/>
                <w:sz w:val="17"/>
                <w:szCs w:val="17"/>
              </w:rPr>
              <w:t>6</w:t>
            </w:r>
          </w:p>
        </w:tc>
        <w:tc>
          <w:tcPr>
            <w:tcW w:w="1156" w:type="dxa"/>
            <w:vAlign w:val="center"/>
          </w:tcPr>
          <w:p w14:paraId="68FEF8BB">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w:t>
            </w:r>
          </w:p>
        </w:tc>
        <w:tc>
          <w:tcPr>
            <w:tcW w:w="1145" w:type="dxa"/>
            <w:vAlign w:val="center"/>
          </w:tcPr>
          <w:p w14:paraId="61A8D763">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w:t>
            </w:r>
          </w:p>
        </w:tc>
        <w:tc>
          <w:tcPr>
            <w:tcW w:w="1145" w:type="dxa"/>
            <w:vAlign w:val="center"/>
          </w:tcPr>
          <w:p w14:paraId="3B727CEE">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w:t>
            </w:r>
          </w:p>
        </w:tc>
        <w:tc>
          <w:tcPr>
            <w:tcW w:w="1145" w:type="dxa"/>
            <w:vAlign w:val="center"/>
          </w:tcPr>
          <w:p w14:paraId="2FA3A4BA">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w:t>
            </w:r>
          </w:p>
        </w:tc>
        <w:tc>
          <w:tcPr>
            <w:tcW w:w="1152" w:type="dxa"/>
            <w:vAlign w:val="center"/>
          </w:tcPr>
          <w:p w14:paraId="741735A0">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w:t>
            </w:r>
          </w:p>
        </w:tc>
      </w:tr>
      <w:tr w14:paraId="20C6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3" w:type="dxa"/>
            <w:vAlign w:val="center"/>
          </w:tcPr>
          <w:p w14:paraId="44A85989">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118001</w:t>
            </w:r>
          </w:p>
        </w:tc>
        <w:tc>
          <w:tcPr>
            <w:tcW w:w="1321" w:type="dxa"/>
            <w:vAlign w:val="center"/>
          </w:tcPr>
          <w:p w14:paraId="58A66118">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广西壮族自治区河池市中级人民法院</w:t>
            </w:r>
          </w:p>
        </w:tc>
        <w:tc>
          <w:tcPr>
            <w:tcW w:w="1142" w:type="dxa"/>
            <w:vAlign w:val="center"/>
          </w:tcPr>
          <w:p w14:paraId="1000913A">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75.15</w:t>
            </w:r>
          </w:p>
        </w:tc>
        <w:tc>
          <w:tcPr>
            <w:tcW w:w="1146" w:type="dxa"/>
            <w:vAlign w:val="center"/>
          </w:tcPr>
          <w:p w14:paraId="72ADA185">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43.00</w:t>
            </w:r>
          </w:p>
        </w:tc>
        <w:tc>
          <w:tcPr>
            <w:tcW w:w="1159" w:type="dxa"/>
            <w:vAlign w:val="center"/>
          </w:tcPr>
          <w:p w14:paraId="3FC28B36">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1A9EF69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40.00</w:t>
            </w:r>
          </w:p>
        </w:tc>
        <w:tc>
          <w:tcPr>
            <w:tcW w:w="1155" w:type="dxa"/>
            <w:vAlign w:val="center"/>
          </w:tcPr>
          <w:p w14:paraId="4AA16F83">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40.00</w:t>
            </w:r>
          </w:p>
        </w:tc>
        <w:tc>
          <w:tcPr>
            <w:tcW w:w="1175" w:type="dxa"/>
            <w:gridSpan w:val="2"/>
            <w:vAlign w:val="center"/>
          </w:tcPr>
          <w:p w14:paraId="2CA11CF9">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629117A9">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3.00</w:t>
            </w:r>
          </w:p>
        </w:tc>
        <w:tc>
          <w:tcPr>
            <w:tcW w:w="1145" w:type="dxa"/>
            <w:vAlign w:val="center"/>
          </w:tcPr>
          <w:p w14:paraId="573E1ABF">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2.00</w:t>
            </w:r>
          </w:p>
        </w:tc>
        <w:tc>
          <w:tcPr>
            <w:tcW w:w="1145" w:type="dxa"/>
            <w:vAlign w:val="center"/>
          </w:tcPr>
          <w:p w14:paraId="0F71DCAE">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30.15</w:t>
            </w:r>
          </w:p>
        </w:tc>
        <w:tc>
          <w:tcPr>
            <w:tcW w:w="1145" w:type="dxa"/>
            <w:vAlign w:val="center"/>
          </w:tcPr>
          <w:p w14:paraId="5F6C8413">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30.15</w:t>
            </w:r>
          </w:p>
        </w:tc>
        <w:tc>
          <w:tcPr>
            <w:tcW w:w="1152" w:type="dxa"/>
            <w:vAlign w:val="center"/>
          </w:tcPr>
          <w:p w14:paraId="56C73889">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507C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9814" w:type="dxa"/>
            <w:gridSpan w:val="9"/>
            <w:tcBorders>
              <w:left w:val="nil"/>
              <w:bottom w:val="nil"/>
              <w:right w:val="nil"/>
            </w:tcBorders>
          </w:tcPr>
          <w:p w14:paraId="0DDEF5E9">
            <w:pPr>
              <w:pStyle w:val="27"/>
              <w:bidi w:val="0"/>
              <w:jc w:val="both"/>
              <w:rPr>
                <w:rFonts w:hint="eastAsia"/>
                <w:vertAlign w:val="baseline"/>
                <w:lang w:val="en-US" w:eastAsia="zh-CN"/>
              </w:rPr>
            </w:pPr>
            <w:r>
              <w:rPr>
                <w:rFonts w:hint="eastAsia" w:ascii="宋体" w:hAnsi="宋体" w:eastAsia="宋体" w:cs="宋体"/>
                <w:sz w:val="17"/>
                <w:szCs w:val="17"/>
              </w:rPr>
              <w:t>注：本报表金额单位转换时可能存在四舍五入尾数误差</w:t>
            </w:r>
          </w:p>
        </w:tc>
        <w:tc>
          <w:tcPr>
            <w:tcW w:w="1156" w:type="dxa"/>
            <w:tcBorders>
              <w:left w:val="nil"/>
              <w:bottom w:val="nil"/>
              <w:right w:val="nil"/>
            </w:tcBorders>
          </w:tcPr>
          <w:p w14:paraId="0B20DC91">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30CABE01">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56BDFA75">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78296266">
            <w:pPr>
              <w:pStyle w:val="27"/>
              <w:bidi w:val="0"/>
              <w:jc w:val="both"/>
              <w:rPr>
                <w:rFonts w:hint="eastAsia" w:ascii="宋体" w:hAnsi="宋体" w:eastAsia="宋体" w:cs="宋体"/>
                <w:sz w:val="17"/>
                <w:szCs w:val="17"/>
              </w:rPr>
            </w:pPr>
          </w:p>
        </w:tc>
        <w:tc>
          <w:tcPr>
            <w:tcW w:w="1152" w:type="dxa"/>
            <w:tcBorders>
              <w:left w:val="nil"/>
              <w:bottom w:val="nil"/>
              <w:right w:val="nil"/>
            </w:tcBorders>
          </w:tcPr>
          <w:p w14:paraId="683A8449">
            <w:pPr>
              <w:pStyle w:val="27"/>
              <w:bidi w:val="0"/>
              <w:jc w:val="both"/>
              <w:rPr>
                <w:rFonts w:hint="eastAsia" w:ascii="宋体" w:hAnsi="宋体" w:eastAsia="宋体" w:cs="宋体"/>
                <w:sz w:val="17"/>
                <w:szCs w:val="17"/>
              </w:rPr>
            </w:pPr>
          </w:p>
        </w:tc>
      </w:tr>
    </w:tbl>
    <w:p w14:paraId="0C914AF1">
      <w:r>
        <w:br w:type="page"/>
      </w:r>
    </w:p>
    <w:p w14:paraId="52694111">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八</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政府性基金预算支出情况表</w:t>
      </w:r>
    </w:p>
    <w:p w14:paraId="0765713F">
      <w:pPr>
        <w:pStyle w:val="23"/>
        <w:keepNext/>
        <w:keepLines/>
        <w:spacing w:after="240"/>
        <w:jc w:val="center"/>
      </w:pPr>
      <w:r>
        <w:t>政府性基金预算支出情况表</w:t>
      </w:r>
      <w:bookmarkEnd w:id="32"/>
      <w:bookmarkEnd w:id="33"/>
      <w:bookmarkEnd w:id="3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149"/>
        <w:gridCol w:w="2150"/>
        <w:gridCol w:w="2210"/>
        <w:gridCol w:w="2149"/>
        <w:gridCol w:w="2158"/>
        <w:gridCol w:w="2151"/>
      </w:tblGrid>
      <w:tr w14:paraId="2B48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328" w:type="dxa"/>
            <w:gridSpan w:val="6"/>
            <w:tcBorders>
              <w:top w:val="nil"/>
              <w:left w:val="nil"/>
              <w:right w:val="nil"/>
            </w:tcBorders>
          </w:tcPr>
          <w:p w14:paraId="71D571B0">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2151" w:type="dxa"/>
            <w:tcBorders>
              <w:top w:val="nil"/>
              <w:left w:val="nil"/>
              <w:right w:val="nil"/>
            </w:tcBorders>
          </w:tcPr>
          <w:p w14:paraId="184C1089">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7B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tcPr>
          <w:p w14:paraId="6C137649">
            <w:pPr>
              <w:pStyle w:val="27"/>
              <w:bidi w:val="0"/>
              <w:jc w:val="center"/>
              <w:rPr>
                <w:vertAlign w:val="baseline"/>
              </w:rPr>
            </w:pPr>
            <w:r>
              <w:rPr>
                <w:sz w:val="17"/>
                <w:szCs w:val="17"/>
              </w:rPr>
              <w:t>科目编码</w:t>
            </w:r>
          </w:p>
        </w:tc>
        <w:tc>
          <w:tcPr>
            <w:tcW w:w="2149" w:type="dxa"/>
          </w:tcPr>
          <w:p w14:paraId="1965712A">
            <w:pPr>
              <w:pStyle w:val="27"/>
              <w:bidi w:val="0"/>
              <w:jc w:val="center"/>
              <w:rPr>
                <w:vertAlign w:val="baseline"/>
              </w:rPr>
            </w:pPr>
            <w:r>
              <w:rPr>
                <w:sz w:val="17"/>
                <w:szCs w:val="17"/>
              </w:rPr>
              <w:t>部门（单位）代码</w:t>
            </w:r>
          </w:p>
        </w:tc>
        <w:tc>
          <w:tcPr>
            <w:tcW w:w="2150" w:type="dxa"/>
          </w:tcPr>
          <w:p w14:paraId="4AA6648C">
            <w:pPr>
              <w:pStyle w:val="27"/>
              <w:bidi w:val="0"/>
              <w:jc w:val="center"/>
              <w:rPr>
                <w:vertAlign w:val="baseline"/>
              </w:rPr>
            </w:pPr>
            <w:r>
              <w:rPr>
                <w:sz w:val="17"/>
                <w:szCs w:val="17"/>
              </w:rPr>
              <w:t>部门（单位）名称（功能分类科目名称）</w:t>
            </w:r>
          </w:p>
        </w:tc>
        <w:tc>
          <w:tcPr>
            <w:tcW w:w="2210" w:type="dxa"/>
            <w:vAlign w:val="center"/>
          </w:tcPr>
          <w:p w14:paraId="0F9E4D68">
            <w:pPr>
              <w:pStyle w:val="25"/>
              <w:spacing w:line="240" w:lineRule="auto"/>
              <w:ind w:firstLine="0" w:firstLineChars="0"/>
              <w:jc w:val="center"/>
              <w:rPr>
                <w:vertAlign w:val="baseline"/>
              </w:rPr>
            </w:pPr>
            <w:r>
              <w:rPr>
                <w:sz w:val="17"/>
                <w:szCs w:val="17"/>
              </w:rPr>
              <w:t>合计</w:t>
            </w:r>
          </w:p>
        </w:tc>
        <w:tc>
          <w:tcPr>
            <w:tcW w:w="2149" w:type="dxa"/>
            <w:vAlign w:val="center"/>
          </w:tcPr>
          <w:p w14:paraId="0BB9C4C6">
            <w:pPr>
              <w:pStyle w:val="25"/>
              <w:spacing w:line="240" w:lineRule="auto"/>
              <w:ind w:firstLine="0" w:firstLineChars="0"/>
              <w:jc w:val="center"/>
              <w:rPr>
                <w:vertAlign w:val="baseline"/>
              </w:rPr>
            </w:pPr>
            <w:r>
              <w:rPr>
                <w:sz w:val="17"/>
                <w:szCs w:val="17"/>
              </w:rPr>
              <w:t>基本支出</w:t>
            </w:r>
          </w:p>
        </w:tc>
        <w:tc>
          <w:tcPr>
            <w:tcW w:w="2158" w:type="dxa"/>
            <w:vAlign w:val="center"/>
          </w:tcPr>
          <w:p w14:paraId="694FDD0B">
            <w:pPr>
              <w:pStyle w:val="25"/>
              <w:spacing w:line="240" w:lineRule="auto"/>
              <w:ind w:firstLine="0" w:firstLineChars="0"/>
              <w:jc w:val="center"/>
              <w:rPr>
                <w:vertAlign w:val="baseline"/>
              </w:rPr>
            </w:pPr>
            <w:r>
              <w:rPr>
                <w:sz w:val="17"/>
                <w:szCs w:val="17"/>
              </w:rPr>
              <w:t>项目支出</w:t>
            </w:r>
          </w:p>
        </w:tc>
        <w:tc>
          <w:tcPr>
            <w:tcW w:w="2151" w:type="dxa"/>
            <w:vAlign w:val="center"/>
          </w:tcPr>
          <w:p w14:paraId="633B8ABE">
            <w:pPr>
              <w:pStyle w:val="25"/>
              <w:spacing w:line="240" w:lineRule="auto"/>
              <w:ind w:firstLine="0" w:firstLineChars="0"/>
              <w:jc w:val="center"/>
              <w:rPr>
                <w:vertAlign w:val="baseline"/>
              </w:rPr>
            </w:pPr>
            <w:r>
              <w:rPr>
                <w:sz w:val="17"/>
                <w:szCs w:val="17"/>
              </w:rPr>
              <w:t>结转下年支出</w:t>
            </w:r>
          </w:p>
        </w:tc>
      </w:tr>
      <w:tr w14:paraId="2CF1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vAlign w:val="center"/>
          </w:tcPr>
          <w:p w14:paraId="614B57EB">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49" w:type="dxa"/>
            <w:vAlign w:val="center"/>
          </w:tcPr>
          <w:p w14:paraId="52BAF3D3">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50" w:type="dxa"/>
            <w:vAlign w:val="center"/>
          </w:tcPr>
          <w:p w14:paraId="6824FAF0">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210" w:type="dxa"/>
            <w:vAlign w:val="center"/>
          </w:tcPr>
          <w:p w14:paraId="4A8E8F84">
            <w:pPr>
              <w:pStyle w:val="25"/>
              <w:spacing w:line="240" w:lineRule="auto"/>
              <w:ind w:left="1060" w:leftChars="0"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49" w:type="dxa"/>
            <w:vAlign w:val="center"/>
          </w:tcPr>
          <w:p w14:paraId="130C415D">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rPr>
              <w:t>0.00</w:t>
            </w:r>
          </w:p>
        </w:tc>
        <w:tc>
          <w:tcPr>
            <w:tcW w:w="2158" w:type="dxa"/>
            <w:vAlign w:val="center"/>
          </w:tcPr>
          <w:p w14:paraId="345C0682">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51" w:type="dxa"/>
            <w:vAlign w:val="center"/>
          </w:tcPr>
          <w:p w14:paraId="2487AAD0">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r>
      <w:tr w14:paraId="056F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479" w:type="dxa"/>
            <w:gridSpan w:val="7"/>
            <w:tcBorders>
              <w:left w:val="nil"/>
              <w:bottom w:val="nil"/>
              <w:right w:val="nil"/>
            </w:tcBorders>
          </w:tcPr>
          <w:p w14:paraId="669711EA">
            <w:pPr>
              <w:pStyle w:val="27"/>
              <w:bidi w:val="0"/>
              <w:jc w:val="both"/>
              <w:rPr>
                <w:vertAlign w:val="baseline"/>
              </w:rPr>
            </w:pPr>
            <w:r>
              <w:rPr>
                <w:b w:val="0"/>
                <w:bCs w:val="0"/>
              </w:rPr>
              <w:t>注：本报表金额单位转换时可能存在四舍五入尾数误差</w:t>
            </w:r>
          </w:p>
        </w:tc>
      </w:tr>
    </w:tbl>
    <w:p w14:paraId="33D1587B">
      <w:r>
        <w:br w:type="page"/>
      </w:r>
    </w:p>
    <w:p w14:paraId="0DCAA730">
      <w:pPr>
        <w:pStyle w:val="23"/>
        <w:keepNext/>
        <w:keepLines/>
        <w:spacing w:after="240"/>
        <w:jc w:val="left"/>
        <w:rPr>
          <w:rFonts w:hint="eastAsia" w:ascii="宋体" w:hAnsi="宋体" w:eastAsia="宋体" w:cs="宋体"/>
          <w:color w:val="000000"/>
          <w:sz w:val="17"/>
          <w:szCs w:val="17"/>
          <w:lang w:val="zh-TW" w:eastAsia="zh-TW" w:bidi="zh-TW"/>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九</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国有资本经营预算支出情况表</w:t>
      </w:r>
    </w:p>
    <w:p w14:paraId="2D25CAC8">
      <w:pPr>
        <w:pStyle w:val="27"/>
        <w:bidi w:val="0"/>
        <w:jc w:val="center"/>
        <w:rPr>
          <w:sz w:val="28"/>
          <w:szCs w:val="28"/>
        </w:rPr>
      </w:pPr>
      <w:r>
        <w:rPr>
          <w:sz w:val="28"/>
          <w:szCs w:val="28"/>
        </w:rPr>
        <w:t>国有资本经营预算支出情况表</w:t>
      </w:r>
    </w:p>
    <w:tbl>
      <w:tblPr>
        <w:tblStyle w:val="7"/>
        <w:tblpPr w:leftFromText="180" w:rightFromText="180" w:vertAnchor="text" w:horzAnchor="page" w:tblpX="707" w:tblpY="364"/>
        <w:tblOverlap w:val="never"/>
        <w:tblW w:w="14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031"/>
        <w:gridCol w:w="2032"/>
        <w:gridCol w:w="2382"/>
        <w:gridCol w:w="2032"/>
        <w:gridCol w:w="2033"/>
        <w:gridCol w:w="2115"/>
      </w:tblGrid>
      <w:tr w14:paraId="3F33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2844" w:type="dxa"/>
            <w:gridSpan w:val="6"/>
            <w:tcBorders>
              <w:top w:val="nil"/>
              <w:left w:val="nil"/>
              <w:right w:val="nil"/>
            </w:tcBorders>
          </w:tcPr>
          <w:p w14:paraId="4E78E383">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2115" w:type="dxa"/>
            <w:tcBorders>
              <w:top w:val="nil"/>
              <w:left w:val="nil"/>
              <w:right w:val="nil"/>
            </w:tcBorders>
          </w:tcPr>
          <w:p w14:paraId="4E448607">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5FAC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2334" w:type="dxa"/>
            <w:vMerge w:val="restart"/>
          </w:tcPr>
          <w:p w14:paraId="7B70B851">
            <w:pPr>
              <w:pStyle w:val="27"/>
              <w:bidi w:val="0"/>
              <w:jc w:val="center"/>
              <w:rPr>
                <w:rFonts w:hint="eastAsia" w:ascii="宋体" w:hAnsi="宋体" w:eastAsia="宋体" w:cs="宋体"/>
                <w:sz w:val="17"/>
                <w:szCs w:val="17"/>
              </w:rPr>
            </w:pPr>
          </w:p>
          <w:p w14:paraId="7A8B2F79">
            <w:pPr>
              <w:pStyle w:val="27"/>
              <w:bidi w:val="0"/>
              <w:jc w:val="center"/>
              <w:rPr>
                <w:rFonts w:hint="eastAsia" w:ascii="宋体" w:hAnsi="宋体" w:eastAsia="宋体" w:cs="宋体"/>
                <w:vertAlign w:val="baseline"/>
              </w:rPr>
            </w:pPr>
            <w:r>
              <w:rPr>
                <w:rFonts w:hint="eastAsia" w:ascii="宋体" w:hAnsi="宋体" w:eastAsia="宋体" w:cs="宋体"/>
                <w:sz w:val="17"/>
                <w:szCs w:val="17"/>
              </w:rPr>
              <w:t>科目编码</w:t>
            </w:r>
          </w:p>
        </w:tc>
        <w:tc>
          <w:tcPr>
            <w:tcW w:w="2031" w:type="dxa"/>
            <w:vMerge w:val="restart"/>
          </w:tcPr>
          <w:p w14:paraId="1E5E5E2D">
            <w:pPr>
              <w:pStyle w:val="27"/>
              <w:bidi w:val="0"/>
              <w:jc w:val="center"/>
              <w:rPr>
                <w:rFonts w:hint="eastAsia" w:ascii="宋体" w:hAnsi="宋体" w:eastAsia="宋体" w:cs="宋体"/>
                <w:sz w:val="17"/>
                <w:szCs w:val="17"/>
              </w:rPr>
            </w:pPr>
          </w:p>
          <w:p w14:paraId="3EF2B130">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部门（单位）代码</w:t>
            </w:r>
          </w:p>
        </w:tc>
        <w:tc>
          <w:tcPr>
            <w:tcW w:w="2032" w:type="dxa"/>
            <w:vMerge w:val="restart"/>
          </w:tcPr>
          <w:p w14:paraId="2FBA620B">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部门（单位）名称（功能分类科目名称）</w:t>
            </w:r>
          </w:p>
        </w:tc>
        <w:tc>
          <w:tcPr>
            <w:tcW w:w="2382" w:type="dxa"/>
            <w:vAlign w:val="center"/>
          </w:tcPr>
          <w:p w14:paraId="4C806649">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合计</w:t>
            </w:r>
          </w:p>
        </w:tc>
        <w:tc>
          <w:tcPr>
            <w:tcW w:w="2032" w:type="dxa"/>
            <w:vAlign w:val="center"/>
          </w:tcPr>
          <w:p w14:paraId="23B3C0BC">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基本支出</w:t>
            </w:r>
          </w:p>
        </w:tc>
        <w:tc>
          <w:tcPr>
            <w:tcW w:w="2033" w:type="dxa"/>
            <w:vAlign w:val="center"/>
          </w:tcPr>
          <w:p w14:paraId="2F2171C4">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项目支出</w:t>
            </w:r>
          </w:p>
        </w:tc>
        <w:tc>
          <w:tcPr>
            <w:tcW w:w="2115" w:type="dxa"/>
            <w:vAlign w:val="center"/>
          </w:tcPr>
          <w:p w14:paraId="3CF04400">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结转下年支出</w:t>
            </w:r>
          </w:p>
        </w:tc>
      </w:tr>
      <w:tr w14:paraId="4317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2334" w:type="dxa"/>
            <w:vMerge w:val="continue"/>
          </w:tcPr>
          <w:p w14:paraId="6D5DE86F">
            <w:pPr>
              <w:pStyle w:val="27"/>
              <w:bidi w:val="0"/>
              <w:jc w:val="center"/>
              <w:rPr>
                <w:rFonts w:hint="eastAsia" w:ascii="宋体" w:hAnsi="宋体" w:eastAsia="宋体" w:cs="宋体"/>
                <w:vertAlign w:val="baseline"/>
              </w:rPr>
            </w:pPr>
          </w:p>
        </w:tc>
        <w:tc>
          <w:tcPr>
            <w:tcW w:w="2031" w:type="dxa"/>
            <w:vMerge w:val="continue"/>
          </w:tcPr>
          <w:p w14:paraId="7AC8DD50">
            <w:pPr>
              <w:pStyle w:val="27"/>
              <w:bidi w:val="0"/>
              <w:jc w:val="center"/>
              <w:rPr>
                <w:rFonts w:hint="eastAsia" w:ascii="宋体" w:hAnsi="宋体" w:eastAsia="宋体" w:cs="宋体"/>
                <w:vertAlign w:val="baseline"/>
              </w:rPr>
            </w:pPr>
          </w:p>
        </w:tc>
        <w:tc>
          <w:tcPr>
            <w:tcW w:w="2032" w:type="dxa"/>
            <w:vMerge w:val="continue"/>
          </w:tcPr>
          <w:p w14:paraId="3994458E">
            <w:pPr>
              <w:pStyle w:val="27"/>
              <w:bidi w:val="0"/>
              <w:jc w:val="center"/>
              <w:rPr>
                <w:rFonts w:hint="eastAsia" w:ascii="宋体" w:hAnsi="宋体" w:eastAsia="宋体" w:cs="宋体"/>
                <w:vertAlign w:val="baseline"/>
              </w:rPr>
            </w:pPr>
          </w:p>
        </w:tc>
        <w:tc>
          <w:tcPr>
            <w:tcW w:w="2382" w:type="dxa"/>
            <w:vAlign w:val="center"/>
          </w:tcPr>
          <w:p w14:paraId="287E7C02">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1</w:t>
            </w:r>
          </w:p>
        </w:tc>
        <w:tc>
          <w:tcPr>
            <w:tcW w:w="2032" w:type="dxa"/>
            <w:vAlign w:val="center"/>
          </w:tcPr>
          <w:p w14:paraId="535A0ED2">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2</w:t>
            </w:r>
          </w:p>
        </w:tc>
        <w:tc>
          <w:tcPr>
            <w:tcW w:w="2033" w:type="dxa"/>
            <w:vAlign w:val="center"/>
          </w:tcPr>
          <w:p w14:paraId="5A3AEF51">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3</w:t>
            </w:r>
          </w:p>
        </w:tc>
        <w:tc>
          <w:tcPr>
            <w:tcW w:w="2115" w:type="dxa"/>
            <w:vAlign w:val="center"/>
          </w:tcPr>
          <w:p w14:paraId="736B4CF7">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4</w:t>
            </w:r>
          </w:p>
        </w:tc>
      </w:tr>
      <w:tr w14:paraId="7251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2334" w:type="dxa"/>
          </w:tcPr>
          <w:p w14:paraId="0381AE94">
            <w:pPr>
              <w:jc w:val="left"/>
              <w:rPr>
                <w:rFonts w:hint="eastAsia" w:ascii="宋体" w:hAnsi="宋体" w:eastAsia="宋体" w:cs="宋体"/>
                <w:vertAlign w:val="baseline"/>
              </w:rPr>
            </w:pPr>
          </w:p>
        </w:tc>
        <w:tc>
          <w:tcPr>
            <w:tcW w:w="2031" w:type="dxa"/>
          </w:tcPr>
          <w:p w14:paraId="0B0EBA31">
            <w:pPr>
              <w:jc w:val="left"/>
              <w:rPr>
                <w:rFonts w:hint="eastAsia" w:ascii="宋体" w:hAnsi="宋体" w:eastAsia="宋体" w:cs="宋体"/>
                <w:vertAlign w:val="baseline"/>
              </w:rPr>
            </w:pPr>
          </w:p>
        </w:tc>
        <w:tc>
          <w:tcPr>
            <w:tcW w:w="2032" w:type="dxa"/>
            <w:vAlign w:val="center"/>
          </w:tcPr>
          <w:p w14:paraId="11F8BBB3">
            <w:pPr>
              <w:pStyle w:val="25"/>
              <w:spacing w:line="240" w:lineRule="auto"/>
              <w:ind w:firstLine="0" w:firstLineChars="0"/>
              <w:jc w:val="left"/>
              <w:rPr>
                <w:rFonts w:hint="eastAsia" w:ascii="宋体" w:hAnsi="宋体" w:eastAsia="宋体" w:cs="宋体"/>
                <w:vertAlign w:val="baseline"/>
              </w:rPr>
            </w:pPr>
            <w:r>
              <w:rPr>
                <w:rFonts w:hint="eastAsia" w:ascii="宋体" w:hAnsi="宋体" w:eastAsia="宋体" w:cs="宋体"/>
                <w:sz w:val="17"/>
                <w:szCs w:val="17"/>
              </w:rPr>
              <w:t>合计</w:t>
            </w:r>
          </w:p>
        </w:tc>
        <w:tc>
          <w:tcPr>
            <w:tcW w:w="2382" w:type="dxa"/>
            <w:vAlign w:val="center"/>
          </w:tcPr>
          <w:p w14:paraId="057C17D9">
            <w:pPr>
              <w:pStyle w:val="25"/>
              <w:spacing w:line="240" w:lineRule="auto"/>
              <w:ind w:left="1700" w:leftChars="0"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2" w:type="dxa"/>
            <w:vAlign w:val="center"/>
          </w:tcPr>
          <w:p w14:paraId="132735B6">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3" w:type="dxa"/>
            <w:vAlign w:val="center"/>
          </w:tcPr>
          <w:p w14:paraId="5E8B9761">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115" w:type="dxa"/>
            <w:vAlign w:val="center"/>
          </w:tcPr>
          <w:p w14:paraId="500BFFBB">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r>
      <w:tr w14:paraId="3AA8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959" w:type="dxa"/>
            <w:gridSpan w:val="7"/>
            <w:tcBorders>
              <w:left w:val="nil"/>
              <w:bottom w:val="nil"/>
              <w:right w:val="nil"/>
            </w:tcBorders>
          </w:tcPr>
          <w:p w14:paraId="14A511A3">
            <w:pPr>
              <w:pStyle w:val="27"/>
              <w:spacing w:line="302" w:lineRule="exact"/>
              <w:ind w:left="672"/>
              <w:jc w:val="left"/>
              <w:rPr>
                <w:rFonts w:hint="eastAsia" w:ascii="宋体" w:hAnsi="宋体" w:eastAsia="宋体" w:cs="宋体"/>
                <w:b w:val="0"/>
                <w:bCs w:val="0"/>
              </w:rPr>
            </w:pPr>
            <w:r>
              <w:rPr>
                <w:rFonts w:hint="eastAsia" w:ascii="宋体" w:hAnsi="宋体" w:eastAsia="宋体" w:cs="宋体"/>
                <w:b w:val="0"/>
                <w:bCs w:val="0"/>
              </w:rPr>
              <w:t>注：本报表金额单位转换时可能存在四舍五入尾数误差。本部门</w:t>
            </w:r>
            <w:r>
              <w:rPr>
                <w:rFonts w:hint="eastAsia" w:ascii="宋体" w:hAnsi="宋体" w:eastAsia="宋体" w:cs="宋体"/>
                <w:b w:val="0"/>
                <w:bCs w:val="0"/>
                <w:lang w:eastAsia="zh-CN"/>
              </w:rPr>
              <w:t>2025</w:t>
            </w:r>
            <w:r>
              <w:rPr>
                <w:rFonts w:ascii="宋体" w:hAnsi="宋体" w:eastAsia="宋体" w:cs="宋体"/>
                <w:u w:color="auto"/>
              </w:rPr>
              <w:t>年</w:t>
            </w:r>
            <w:r>
              <w:rPr>
                <w:rFonts w:hint="eastAsia" w:ascii="宋体" w:hAnsi="宋体" w:eastAsia="宋体" w:cs="宋体"/>
                <w:b w:val="0"/>
                <w:bCs w:val="0"/>
              </w:rPr>
              <w:t>度没有国有资本经营预算支出，故本表无数据</w:t>
            </w:r>
          </w:p>
          <w:p w14:paraId="74FCD24D">
            <w:pPr>
              <w:pStyle w:val="27"/>
              <w:bidi w:val="0"/>
              <w:jc w:val="both"/>
              <w:rPr>
                <w:rFonts w:hint="eastAsia" w:ascii="宋体" w:hAnsi="宋体" w:eastAsia="宋体" w:cs="宋体"/>
                <w:vertAlign w:val="baseline"/>
              </w:rPr>
            </w:pPr>
          </w:p>
        </w:tc>
      </w:tr>
    </w:tbl>
    <w:p w14:paraId="756A888C">
      <w:r>
        <w:br w:type="page"/>
      </w:r>
    </w:p>
    <w:p w14:paraId="739C0300">
      <w:pPr>
        <w:pStyle w:val="23"/>
        <w:keepNext/>
        <w:keepLines/>
        <w:spacing w:after="240"/>
        <w:jc w:val="left"/>
      </w:pPr>
      <w:bookmarkStart w:id="35" w:name="OLE_LINK9"/>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十</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2025年度预算项目绩效目标公开表</w:t>
      </w:r>
    </w:p>
    <w:p w14:paraId="17349A47">
      <w:pPr>
        <w:pStyle w:val="23"/>
        <w:keepNext/>
        <w:keepLines/>
        <w:spacing w:after="240"/>
        <w:jc w:val="center"/>
        <w:rPr>
          <w:rFonts w:hint="eastAsia"/>
          <w:lang w:eastAsia="zh-CN"/>
        </w:rPr>
      </w:pPr>
      <w:r>
        <w:rPr>
          <w:rFonts w:hint="eastAsia" w:ascii="仿宋_GB2312" w:hAnsi="宋体"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val="en-US" w:eastAsia="zh-CN" w:bidi="ar-SA"/>
        </w:rPr>
        <w:t>年度预算项目绩效目标公开表</w:t>
      </w:r>
    </w:p>
    <w:tbl>
      <w:tblPr>
        <w:tblStyle w:val="6"/>
        <w:tblW w:w="5000" w:type="pct"/>
        <w:tblInd w:w="0" w:type="dxa"/>
        <w:tblLayout w:type="fixed"/>
        <w:tblCellMar>
          <w:top w:w="0" w:type="dxa"/>
          <w:left w:w="10" w:type="dxa"/>
          <w:bottom w:w="0" w:type="dxa"/>
          <w:right w:w="10" w:type="dxa"/>
        </w:tblCellMar>
      </w:tblPr>
      <w:tblGrid>
        <w:gridCol w:w="1845"/>
        <w:gridCol w:w="2563"/>
        <w:gridCol w:w="3355"/>
        <w:gridCol w:w="1513"/>
        <w:gridCol w:w="6085"/>
      </w:tblGrid>
      <w:tr w14:paraId="3DE52D70">
        <w:tblPrEx>
          <w:tblCellMar>
            <w:top w:w="0" w:type="dxa"/>
            <w:left w:w="10" w:type="dxa"/>
            <w:bottom w:w="0" w:type="dxa"/>
            <w:right w:w="10" w:type="dxa"/>
          </w:tblCellMar>
        </w:tblPrEx>
        <w:trPr>
          <w:cantSplit/>
          <w:trHeight w:val="430" w:hRule="exact"/>
        </w:trPr>
        <w:tc>
          <w:tcPr>
            <w:tcW w:w="9276" w:type="dxa"/>
            <w:gridSpan w:val="4"/>
            <w:shd w:val="clear" w:color="auto" w:fill="FFFFFF"/>
            <w:vAlign w:val="bottom"/>
          </w:tcPr>
          <w:p w14:paraId="4A987DD3">
            <w:pPr>
              <w:pStyle w:val="25"/>
              <w:spacing w:line="240" w:lineRule="auto"/>
              <w:ind w:firstLine="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单位名称：</w:t>
            </w:r>
            <w:r>
              <w:rPr>
                <w:rFonts w:hint="eastAsia" w:asciiTheme="minorEastAsia" w:hAnsiTheme="minorEastAsia" w:eastAsiaTheme="minorEastAsia" w:cstheme="minorEastAsia"/>
                <w:sz w:val="18"/>
                <w:szCs w:val="18"/>
                <w:lang w:eastAsia="zh-CN"/>
              </w:rPr>
              <w:t>广西壮族自治区河池市中级人民法院</w:t>
            </w:r>
          </w:p>
        </w:tc>
        <w:tc>
          <w:tcPr>
            <w:tcW w:w="6085" w:type="dxa"/>
            <w:shd w:val="clear" w:color="auto" w:fill="FFFFFF"/>
            <w:vAlign w:val="bottom"/>
          </w:tcPr>
          <w:p w14:paraId="1F27D8B4">
            <w:pPr>
              <w:pStyle w:val="27"/>
              <w:bidi w:val="0"/>
              <w:jc w:val="right"/>
              <w:rPr>
                <w:rFonts w:hint="eastAsia" w:asciiTheme="minorEastAsia" w:hAnsiTheme="minorEastAsia" w:eastAsiaTheme="minorEastAsia" w:cstheme="minorEastAsia"/>
                <w:sz w:val="18"/>
                <w:szCs w:val="18"/>
                <w:lang w:val="en-US"/>
              </w:rPr>
            </w:pPr>
          </w:p>
          <w:p w14:paraId="2C4D1EB0">
            <w:pPr>
              <w:pStyle w:val="23"/>
              <w:keepNext/>
              <w:keepLines/>
              <w:spacing w:after="24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14:paraId="32963AE5">
        <w:tblPrEx>
          <w:tblCellMar>
            <w:top w:w="0" w:type="dxa"/>
            <w:left w:w="10" w:type="dxa"/>
            <w:bottom w:w="0" w:type="dxa"/>
            <w:right w:w="10" w:type="dxa"/>
          </w:tblCellMar>
        </w:tblPrEx>
        <w:trPr>
          <w:cantSplit/>
          <w:trHeight w:val="854" w:hRule="exact"/>
        </w:trPr>
        <w:tc>
          <w:tcPr>
            <w:tcW w:w="1845" w:type="dxa"/>
            <w:tcBorders>
              <w:top w:val="single" w:color="auto" w:sz="4" w:space="0"/>
              <w:left w:val="single" w:color="auto" w:sz="4" w:space="0"/>
              <w:bottom w:val="single" w:color="auto" w:sz="4" w:space="0"/>
            </w:tcBorders>
            <w:shd w:val="clear" w:color="auto" w:fill="FFFFFF"/>
            <w:vAlign w:val="center"/>
          </w:tcPr>
          <w:p w14:paraId="1A4CFDE6">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sz w:val="18"/>
                <w:u w:color="auto"/>
              </w:rPr>
              <w:t>单位代码</w:t>
            </w:r>
          </w:p>
        </w:tc>
        <w:tc>
          <w:tcPr>
            <w:tcW w:w="2563" w:type="dxa"/>
            <w:tcBorders>
              <w:top w:val="single" w:color="auto" w:sz="4" w:space="0"/>
              <w:left w:val="single" w:color="auto" w:sz="4" w:space="0"/>
              <w:bottom w:val="single" w:color="auto" w:sz="4" w:space="0"/>
            </w:tcBorders>
            <w:shd w:val="clear" w:color="auto" w:fill="FFFFFF"/>
            <w:vAlign w:val="center"/>
          </w:tcPr>
          <w:p w14:paraId="23B84A71">
            <w:pPr>
              <w:pStyle w:val="25"/>
              <w:spacing w:line="240" w:lineRule="auto"/>
              <w:ind w:firstLine="24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单位名称</w:t>
            </w:r>
          </w:p>
        </w:tc>
        <w:tc>
          <w:tcPr>
            <w:tcW w:w="3355" w:type="dxa"/>
            <w:tcBorders>
              <w:top w:val="single" w:color="auto" w:sz="4" w:space="0"/>
              <w:left w:val="single" w:color="auto" w:sz="4" w:space="0"/>
              <w:bottom w:val="single" w:color="auto" w:sz="4" w:space="0"/>
            </w:tcBorders>
            <w:shd w:val="clear" w:color="auto" w:fill="FFFFFF"/>
            <w:vAlign w:val="center"/>
          </w:tcPr>
          <w:p w14:paraId="166EF287">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1513" w:type="dxa"/>
            <w:tcBorders>
              <w:top w:val="single" w:color="auto" w:sz="4" w:space="0"/>
              <w:left w:val="single" w:color="auto" w:sz="4" w:space="0"/>
              <w:bottom w:val="single" w:color="auto" w:sz="4" w:space="0"/>
            </w:tcBorders>
            <w:shd w:val="clear" w:color="auto" w:fill="FFFFFF"/>
            <w:vAlign w:val="center"/>
          </w:tcPr>
          <w:p w14:paraId="11C99CF0">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预算金额</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73CEFBD">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年度绩效目标</w:t>
            </w:r>
          </w:p>
        </w:tc>
      </w:tr>
      <w:tr w14:paraId="51859DC4">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40C390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118001</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5D409DF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52EF84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办公办案运维服务采购(非税)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6ECAD16">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16294E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整合项目，将开展“全市法院判决文书集约送达费”、“法院卷宗集中扫描费”、“移动办公办案专用安全终端租用费”、“全市法院网络安全检测软件和运维服务采购”、“河池中院运维项目”、“办公区后勤事务外包”、“食堂外包”、“等外包服务。</w:t>
            </w:r>
          </w:p>
        </w:tc>
      </w:tr>
      <w:tr w14:paraId="71C093D6">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951E16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118001</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0F95106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AC05FB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9C8D813">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865247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依法审判法律规定由中级人民法院管辖和其认为应当由自己审判的刑事、民事、行政等第一审案件。依法审判法律规定由中级人民法院审理的刑事、民事、行政等第二审案件。用于案件审理相关的差旅、燃油过路、住宿、办公设备、办公用品、聘用人员经费等各类开支。</w:t>
            </w:r>
          </w:p>
        </w:tc>
      </w:tr>
      <w:tr w14:paraId="33EC29C0">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62B66C6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118001</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F45763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4D3439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31FEAB2">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E5DED2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为干警提供人身保险，应对较高的职业风险。购买政法干警人身意外伤害险，200人，每人每年100元保费，总共2万元。</w:t>
            </w:r>
          </w:p>
        </w:tc>
      </w:tr>
      <w:tr w14:paraId="0301715E">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6A8E83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118001</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0703331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F28743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57BF2597">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8C526D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依法审判法律规定由中级人民法院管辖和其认为应当由自己审判的刑事、民事、行政等第一审案件。依法审判法律规定由中级人民法院审理的刑事、民事、行政第二审案件。</w:t>
            </w:r>
          </w:p>
        </w:tc>
      </w:tr>
      <w:tr w14:paraId="08925CD3">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701242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118001</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B96C1E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B11B59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专项会议费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8638970">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DCE371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召开两级法院院长会议、刑事、民事审判会议、执行工作会议、大案要案部署会议。</w:t>
            </w:r>
          </w:p>
        </w:tc>
      </w:tr>
      <w:tr w14:paraId="5EB9C194">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5DBF3D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118001</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A98DA0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5EEB83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5C90800E">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14.00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44F0CC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人民警察法定工作日之外加班补贴所需经费，由同级财政负担。根据桂人社部规（2017）9号文件精神发放，法警加班满勤710月／人／月。</w:t>
            </w:r>
          </w:p>
        </w:tc>
      </w:tr>
    </w:tbl>
    <w:p w14:paraId="1A055C6F">
      <w:pPr>
        <w:jc w:val="left"/>
        <w:rPr>
          <w:rFonts w:hint="eastAsia"/>
          <w:lang w:eastAsia="zh-CN"/>
        </w:rPr>
        <w:sectPr>
          <w:headerReference r:id="rId6" w:type="default"/>
          <w:footerReference r:id="rId7" w:type="default"/>
          <w:type w:val="continuous"/>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r>
        <w:rPr>
          <w:rFonts w:hint="eastAsia" w:asciiTheme="minorEastAsia" w:hAnsiTheme="minorEastAsia" w:eastAsiaTheme="minorEastAsia" w:cstheme="minorEastAsia"/>
          <w:sz w:val="18"/>
          <w:szCs w:val="18"/>
        </w:rPr>
        <w:t>注：本报表</w:t>
      </w:r>
      <w:r>
        <w:rPr>
          <w:rFonts w:hint="eastAsia" w:asciiTheme="minorEastAsia" w:hAnsiTheme="minorEastAsia" w:eastAsiaTheme="minorEastAsia" w:cstheme="minorEastAsia"/>
          <w:sz w:val="18"/>
          <w:szCs w:val="18"/>
          <w:lang w:val="en-US" w:eastAsia="zh-CN"/>
        </w:rPr>
        <w:t>不包含不宜公开的项目，</w:t>
      </w:r>
      <w:r>
        <w:rPr>
          <w:rFonts w:hint="eastAsia" w:asciiTheme="minorEastAsia" w:hAnsiTheme="minorEastAsia" w:eastAsiaTheme="minorEastAsia" w:cstheme="minorEastAsia"/>
          <w:sz w:val="18"/>
          <w:szCs w:val="18"/>
        </w:rPr>
        <w:t>金额单位转换时可能存在四舍五入尾数误差</w:t>
      </w:r>
      <w:r>
        <w:rPr>
          <w:rFonts w:hint="eastAsia" w:asciiTheme="minorEastAsia" w:hAnsiTheme="minorEastAsia" w:eastAsiaTheme="minorEastAsia" w:cstheme="minorEastAsia"/>
          <w:sz w:val="32"/>
          <w:szCs w:val="32"/>
        </w:rPr>
        <w:t>。</w:t>
      </w:r>
      <w:bookmarkEnd w:id="35"/>
    </w:p>
    <w:p w14:paraId="093949A7">
      <w:pPr>
        <w:pStyle w:val="13"/>
        <w:keepNext/>
        <w:keepLines/>
        <w:numPr>
          <w:ilvl w:val="0"/>
          <w:numId w:val="1"/>
        </w:numPr>
        <w:spacing w:before="200" w:after="0"/>
        <w:jc w:val="center"/>
        <w:rPr>
          <w:rFonts w:hint="eastAsia" w:ascii="黑体" w:hAnsi="黑体" w:eastAsia="黑体" w:cs="黑体"/>
          <w:sz w:val="32"/>
          <w:szCs w:val="32"/>
        </w:rPr>
      </w:pPr>
      <w:r>
        <w:rPr>
          <w:rFonts w:hint="eastAsia" w:ascii="黑体" w:hAnsi="黑体" w:eastAsia="黑体" w:cs="黑体"/>
          <w:sz w:val="32"/>
          <w:szCs w:val="32"/>
        </w:rPr>
        <w:t>分名词解释</w:t>
      </w:r>
      <w:bookmarkEnd w:id="19"/>
      <w:bookmarkEnd w:id="20"/>
      <w:bookmarkEnd w:id="21"/>
    </w:p>
    <w:p w14:paraId="3C602755">
      <w:pPr>
        <w:pStyle w:val="13"/>
        <w:keepNext/>
        <w:keepLines/>
        <w:numPr>
          <w:ilvl w:val="0"/>
          <w:numId w:val="0"/>
        </w:numPr>
        <w:spacing w:before="200" w:after="0"/>
        <w:jc w:val="both"/>
        <w:rPr>
          <w:rFonts w:hint="eastAsia" w:ascii="黑体" w:hAnsi="黑体" w:eastAsia="黑体" w:cs="黑体"/>
          <w:sz w:val="32"/>
          <w:szCs w:val="32"/>
        </w:rPr>
      </w:pPr>
    </w:p>
    <w:p w14:paraId="5B5A0A52">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6" w:name="bookmark97"/>
      <w:r>
        <w:rPr>
          <w:rFonts w:hint="eastAsia" w:ascii="仿宋_GB2312" w:hAnsi="Times New Roman" w:eastAsia="仿宋_GB2312" w:cs="Times New Roman"/>
          <w:kern w:val="2"/>
          <w:sz w:val="32"/>
          <w:szCs w:val="32"/>
          <w:lang w:val="en-US" w:eastAsia="zh-CN" w:bidi="ar-SA"/>
        </w:rPr>
        <w:t>一</w:t>
      </w:r>
      <w:bookmarkEnd w:id="36"/>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财政拨款收入：指预算单位从本级财政部门取得的财政预算资金收入。</w:t>
      </w:r>
    </w:p>
    <w:p w14:paraId="7D2952ED">
      <w:pPr>
        <w:pStyle w:val="19"/>
        <w:tabs>
          <w:tab w:val="left" w:pos="128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7" w:name="bookmark98"/>
      <w:r>
        <w:rPr>
          <w:rFonts w:hint="eastAsia" w:ascii="仿宋_GB2312" w:hAnsi="Times New Roman" w:eastAsia="仿宋_GB2312" w:cs="Times New Roman"/>
          <w:kern w:val="2"/>
          <w:sz w:val="32"/>
          <w:szCs w:val="32"/>
          <w:lang w:val="en-US" w:eastAsia="zh-CN" w:bidi="ar-SA"/>
        </w:rPr>
        <w:t>二</w:t>
      </w:r>
      <w:bookmarkEnd w:id="37"/>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事业收入：指事业单位开展专业业务活动及辅助活动所取得的收入。</w:t>
      </w:r>
    </w:p>
    <w:p w14:paraId="71B46523">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8" w:name="bookmark99"/>
      <w:r>
        <w:rPr>
          <w:rFonts w:hint="eastAsia" w:ascii="仿宋_GB2312" w:hAnsi="Times New Roman" w:eastAsia="仿宋_GB2312" w:cs="Times New Roman"/>
          <w:kern w:val="2"/>
          <w:sz w:val="32"/>
          <w:szCs w:val="32"/>
          <w:lang w:val="en-US" w:eastAsia="zh-CN" w:bidi="ar-SA"/>
        </w:rPr>
        <w:t>三</w:t>
      </w:r>
      <w:bookmarkEnd w:id="38"/>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经营收入：指事业单位在专业业务活动及其辅助活动之外开展非独立核算经营活动取得的收入。</w:t>
      </w:r>
    </w:p>
    <w:p w14:paraId="5FBC5BD4">
      <w:pPr>
        <w:pStyle w:val="19"/>
        <w:tabs>
          <w:tab w:val="left" w:pos="1309"/>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9" w:name="bookmark100"/>
      <w:r>
        <w:rPr>
          <w:rFonts w:hint="eastAsia" w:ascii="仿宋_GB2312" w:hAnsi="Times New Roman" w:eastAsia="仿宋_GB2312" w:cs="Times New Roman"/>
          <w:kern w:val="2"/>
          <w:sz w:val="32"/>
          <w:szCs w:val="32"/>
          <w:lang w:val="en-US" w:eastAsia="zh-CN" w:bidi="ar-SA"/>
        </w:rPr>
        <w:t>四</w:t>
      </w:r>
      <w:bookmarkEnd w:id="39"/>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其他收入：指除上述</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w:t>
      </w:r>
      <w:r>
        <w:rPr>
          <w:rFonts w:hint="eastAsia" w:ascii="仿宋_GB2312" w:hAnsi="Times New Roman" w:eastAsia="仿宋_GB2312" w:cs="Times New Roman"/>
          <w:kern w:val="2"/>
          <w:sz w:val="32"/>
          <w:szCs w:val="32"/>
          <w:lang w:val="en-US" w:eastAsia="zh-CN" w:bidi="ar-SA"/>
        </w:rPr>
        <w:t>业收入”、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收入”等以外的收入。主要是非本级财政拨款、存款利息收入、事业单位固定资产出租收入等。</w:t>
      </w:r>
    </w:p>
    <w:p w14:paraId="5C419B41">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0" w:name="bookmark101"/>
      <w:r>
        <w:rPr>
          <w:rFonts w:hint="eastAsia" w:ascii="仿宋_GB2312" w:hAnsi="Times New Roman" w:eastAsia="仿宋_GB2312" w:cs="Times New Roman"/>
          <w:kern w:val="2"/>
          <w:sz w:val="32"/>
          <w:szCs w:val="32"/>
          <w:lang w:val="en-US" w:eastAsia="zh-CN" w:bidi="ar-SA"/>
        </w:rPr>
        <w:t>五</w:t>
      </w:r>
      <w:bookmarkEnd w:id="40"/>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用事业基金弥补收支差额：指事业单位在用当年的</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“事业</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“其他</w:t>
      </w:r>
      <w:r>
        <w:rPr>
          <w:rFonts w:hint="eastAsia" w:ascii="仿宋_GB2312" w:hAnsi="Times New Roman" w:eastAsia="仿宋_GB2312" w:cs="Times New Roman"/>
          <w:kern w:val="2"/>
          <w:sz w:val="32"/>
          <w:szCs w:val="32"/>
          <w:lang w:val="en-US" w:eastAsia="zh-CN" w:bidi="ar-SA"/>
        </w:rPr>
        <w:t>收入”不足以安排当年支出的情况下，使用以前年度积累的事业基金（事业单位当年收支相抵后按国家规定提取、用于弥补以后年度收支差额的基金）弥补本年度收支缺口的资金。</w:t>
      </w:r>
    </w:p>
    <w:p w14:paraId="7A8A1925">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1" w:name="bookmark102"/>
      <w:r>
        <w:rPr>
          <w:rFonts w:hint="eastAsia" w:ascii="仿宋_GB2312" w:hAnsi="Times New Roman" w:eastAsia="仿宋_GB2312" w:cs="Times New Roman"/>
          <w:kern w:val="2"/>
          <w:sz w:val="32"/>
          <w:szCs w:val="32"/>
          <w:lang w:val="en-US" w:eastAsia="zh-CN" w:bidi="ar-SA"/>
        </w:rPr>
        <w:t>六</w:t>
      </w:r>
      <w:bookmarkEnd w:id="41"/>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年初结转和结余：指以前年度尚未完成、结转到本年按有关规定继续使用的资金。</w:t>
      </w:r>
    </w:p>
    <w:p w14:paraId="483EDA5D">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2" w:name="bookmark103"/>
      <w:r>
        <w:rPr>
          <w:rFonts w:hint="eastAsia" w:ascii="仿宋_GB2312" w:hAnsi="Times New Roman" w:eastAsia="仿宋_GB2312" w:cs="Times New Roman"/>
          <w:kern w:val="2"/>
          <w:sz w:val="32"/>
          <w:szCs w:val="32"/>
          <w:lang w:val="en-US" w:eastAsia="zh-CN" w:bidi="ar-SA"/>
        </w:rPr>
        <w:t>七</w:t>
      </w:r>
      <w:bookmarkEnd w:id="42"/>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结余分配：指事业单位按规定提取的职工福利基金、事业基金和缴纳的所得税，以及建设单位按规定应交回的基本建设竣工项目结余资金。</w:t>
      </w:r>
    </w:p>
    <w:p w14:paraId="1FD24499">
      <w:pPr>
        <w:pStyle w:val="19"/>
        <w:tabs>
          <w:tab w:val="left" w:pos="632"/>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3" w:name="bookmark104"/>
      <w:r>
        <w:rPr>
          <w:rFonts w:hint="eastAsia" w:ascii="仿宋_GB2312" w:hAnsi="Times New Roman" w:eastAsia="仿宋_GB2312" w:cs="Times New Roman"/>
          <w:kern w:val="2"/>
          <w:sz w:val="32"/>
          <w:szCs w:val="32"/>
          <w:lang w:val="en-US" w:eastAsia="zh-CN" w:bidi="ar-SA"/>
        </w:rPr>
        <w:t>八</w:t>
      </w:r>
      <w:bookmarkEnd w:id="43"/>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年末结转和结余：指本年度或以前年度预算安排、因客观条件发生变化无法按原计划实施，需要延迟到以后年度按有关规定继续使用的资金。</w:t>
      </w:r>
    </w:p>
    <w:p w14:paraId="43EEFD6D">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bookmarkStart w:id="44" w:name="bookmark105"/>
      <w:r>
        <w:rPr>
          <w:rFonts w:hint="eastAsia" w:ascii="仿宋_GB2312" w:hAnsi="Times New Roman" w:eastAsia="仿宋_GB2312" w:cs="Times New Roman"/>
          <w:kern w:val="2"/>
          <w:sz w:val="32"/>
          <w:szCs w:val="32"/>
          <w:lang w:val="en-US" w:eastAsia="zh-CN" w:bidi="ar-SA"/>
        </w:rPr>
        <w:t>九</w:t>
      </w:r>
      <w:bookmarkEnd w:id="44"/>
      <w:r>
        <w:rPr>
          <w:rFonts w:hint="eastAsia" w:ascii="仿宋_GB2312" w:hAnsi="Times New Roman" w:eastAsia="仿宋_GB2312" w:cs="Times New Roman"/>
          <w:kern w:val="2"/>
          <w:sz w:val="32"/>
          <w:szCs w:val="32"/>
          <w:lang w:val="en-US" w:eastAsia="zh-CN" w:bidi="ar-SA"/>
        </w:rPr>
        <w:t>、基本支出：指为保障机构正常运转、完成日常工作任务而发生的人员支出和公用支出。</w:t>
      </w:r>
    </w:p>
    <w:p w14:paraId="24530D6C">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十、项目支出：指在基本支出之外为完成特定行政任务和事业发展目标所发生的支出。</w:t>
      </w:r>
    </w:p>
    <w:p w14:paraId="74513128">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十一、经营支出：指事业单位在专业业务活动及其辅助活动之外开展非独立核算经营活动所发生的支出。</w:t>
      </w:r>
    </w:p>
    <w:p w14:paraId="58E856A9">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w:t>
      </w:r>
      <w:r>
        <w:rPr>
          <w:rFonts w:hint="eastAsia" w:ascii="仿宋_GB2312" w:hAnsi="Times New Roman" w:eastAsia="仿宋_GB2312" w:cs="Times New Roman"/>
          <w:kern w:val="2"/>
          <w:sz w:val="32"/>
          <w:szCs w:val="32"/>
          <w:lang w:val="zh-CN" w:eastAsia="zh-CN" w:bidi="ar-SA"/>
        </w:rPr>
        <w:t>“三</w:t>
      </w:r>
      <w:r>
        <w:rPr>
          <w:rFonts w:hint="eastAsia" w:ascii="仿宋_GB2312" w:hAnsi="Times New Roman" w:eastAsia="仿宋_GB2312" w:cs="Times New Roman"/>
          <w:kern w:val="2"/>
          <w:sz w:val="32"/>
          <w:szCs w:val="32"/>
          <w:lang w:val="en-US" w:eastAsia="zh-CN" w:bidi="ar-SA"/>
        </w:rPr>
        <w:t>公”经费：纳入财政预决算管理的</w:t>
      </w:r>
      <w:r>
        <w:rPr>
          <w:rFonts w:hint="eastAsia" w:ascii="仿宋_GB2312" w:hAnsi="Times New Roman" w:eastAsia="仿宋_GB2312" w:cs="Times New Roman"/>
          <w:kern w:val="2"/>
          <w:sz w:val="32"/>
          <w:szCs w:val="32"/>
          <w:lang w:val="zh-CN" w:eastAsia="zh-CN" w:bidi="ar-SA"/>
        </w:rPr>
        <w:t>“三公</w:t>
      </w:r>
      <w:r>
        <w:rPr>
          <w:rFonts w:hint="eastAsia" w:ascii="仿宋_GB2312" w:hAnsi="Times New Roman" w:eastAsia="仿宋_GB2312" w:cs="Times New Roman"/>
          <w:kern w:val="2"/>
          <w:sz w:val="32"/>
          <w:szCs w:val="32"/>
          <w:lang w:val="en-US" w:eastAsia="zh-CN" w:bidi="ar-SA"/>
        </w:rPr>
        <w:t>”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74805EFF">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8" w:type="default"/>
      <w:footerReference r:id="rId9"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925C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2FC1B">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5A1535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MWAQrwDAgAADAQAAA4AAABkcnMvZTJvRG9jLnhtbK1TwY7TMBC9I/EP lu80baVFVdR0haiKkFZspYUPcB2nsWR7rLHbpHwA/AEnLtz5rn4HYyftwsJhD1yc5/Hked6b8fK2 t4YdFQYNruKzyZQz5STU2u0r/unj5tWCsxCFq4UBpyp+UoHfrl6+WHa+VHNowdQKGZG4UHa+4m2M viyKIFtlRZiAV44OG0ArIm1xX9QoOmK3pphPp6+LDrD2CFKFQNH1cMhHRnwOITSNlmoN8mCViwMr KiMiSQqt9oGvcrVNo2S8b5qgIjMVJ6Uxr3QJ4V1ai9VSlHsUvtVyLEE8p4QnmqzQji69Uq1FFOyA +i8qqyVCgCZOJNhiEJIdIRWz6RNvHlrhVdZCVgd/NT38P1r54bhFpmuahJvFDWdOWOr5+dvX8/ef 5x9f2Dw51PlQUuKD3+K4CwST3L5Bm74khPXZ1dPVVdVHJik4W8wXiykZLunssiGe4vF3jyG+U2BZ AhVHalt2UxzvQhxSLynpNgcbbQzFRWncHwHiTJEiVTzUmFDsd/1Y+A7qEwlGGCYheLnRdOedCHEr kFpPddLjiPe0NAa6isOIOGsBP/8rnvKpI3TKWUejVHFHL4cz895Rp9LUXQBewO4C3MG+BZrNGWcY TYb0g3CS6CoeOTt41Ps2V5uUBv/mEEl+diVpGwSNkmlIsq/jQKcp/H2fsx4f8eoX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uXW5UtAAAAAFAQAADwAAAAAAAAABACAAAAAiAAAAZHJzL2Rvd25yZXYu eG1sUEsBAhQAFAAAAAgAh07iQMWAQrwDAgAADAQAAA4AAAAAAAAAAQAgAAAAHwEAAGRycy9lMm9E b2MueG1sUEsFBgAAAAAGAAYAWQEAAJQFAAAAAA== ">
              <v:fill on="f" focussize="0,0"/>
              <v:stroke on="f"/>
              <v:imagedata o:title=""/>
              <o:lock v:ext="edit" aspectratio="f"/>
              <v:textbox inset="0mm,0mm,0mm,0mm" style="mso-fit-shape-to-text:t;">
                <w:txbxContent>
                  <w:p w14:paraId="45A15350">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9E97">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594"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1EEBEE8">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59264;mso-width-relative:page;mso-height-relative:page;" filled="f" stroked="f" coordsize="21600,21600" o:gfxdata="UEsDBAoAAAAAAIdO4kAAAAAAAAAAAAAAAAAEAAAAZHJzL1BLAwQUAAAACACHTuJA/0fAq9sAAAAK AQAADwAAAGRycy9kb3ducmV2LnhtbE2Py07DMBBF90j8gzVI7Fo7peRFJhXiobKEFqmwc2OTRNjj KHabwtdjVrAc3aN7z1SrkzXsqEffO0JI5gKYpsapnlqE1+3jLAfmgyQljSON8KU9rOrzs0qWyk30 oo+b0LJYQr6UCF0IQ8m5bzptpZ+7QVPMPtxoZYjn2HI1yimWW8MXQqTcyp7iQicHfdfp5nNzsAjr fLh9e3LfU2se3te7511xvy0C4uVFIm6ABX0KfzD86kd1qKPT3h1IeWYQMrG8jijCLLlKgUUiy5YF sD3CIk+B1xX//0L9A1BLAwQUAAAACACHTuJAKguHEgkCAAANBAAADgAAAGRycy9lMm9Eb2MueG1s rVPNjtMwEL4j8Q6W7zRtVbZs1XSFqIqQVmylhQdwHbux5D/GTpPyAPAGnLhw57n6HIydtAsLhz1w ccYzk2/m+2a8vOmMJgcBQTlb0sloTImw3FXK7kv68cPmxStKQmS2YtpZUdKjCPRm9fzZsvULMXW1 05UAgiA2LFpf0jpGvyiKwGthWBg5LywGpQPDIl5hX1TAWkQ3upiOx1dF66Dy4LgIAb3rPkgHRHgK oJNScbF2vDHCxh4VhGYRKYVa+UBXuVspBY93UgYRiS4pMo35xCJo79JZrJZssQfma8WHFthTWnjE yTBlsegFas0iIw2ov6CM4uCCk3HEnSl6IlkRZDEZP9LmvmZeZC4odfAX0cP/g+XvD1sgqsJNeHk9 o8QygzM/fft6+v7z9OMLmUySRK0PC8y891sYbgHNxLeTYNIXmZAuy3q8yCq6SDg6Z7P5eIaCcwxN r+bX8yx78fCzhxDfCmdIMkoKOLUsJjvchogFMfWckmpZt1Fa58lp+4cDE5OnSP32HSYrdrtuaHvn qiPyBdcvQvB8o7DmLQtxywAnj23i24h3eEjt2pK6waKkdvD5X/6UjwPBKCUtblJJw6eGgaBEv7M4 qrR2ZwPOxu5s2Ma8cbicE0og6mziD8xyBCxppKTxoPZ17rfn+rqJTqqsS2LXUxpI45ZkuYaNTmv4 +z1nPbzi1S9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9BAAAW0NvbnRlbnRfVHlwZXNdLnhtbFBLAQIUAAoAAAAAAIdO4kAAAAAAAAAAAAAAAAAG AAAAAAAAAAAAEAAAAF8DAABfcmVscy9QSwECFAAUAAAACACHTuJAihRmPNEAAACUAQAACwAAAAAA AAABACAAAACDAwAAX3JlbHMvLnJlbHNQSwECFAAKAAAAAACHTuJAAAAAAAAAAAAAAAAABAAAAAAA AAAAABAAAAAAAAAAZHJzL1BLAQIUABQAAAAIAIdO4kD/R8Cr2wAAAAoBAAAPAAAAAAAAAAEAIAAA ACIAAABkcnMvZG93bnJldi54bWxQSwECFAAUAAAACACHTuJAKguHEgkCAAANBAAADgAAAAAAAAAB ACAAAAAqAQAAZHJzL2Uyb0RvYy54bWxQSwUGAAAAAAYABgBZAQAApQUAAAAA ">
              <v:fill on="f" focussize="0,0"/>
              <v:stroke on="f"/>
              <v:imagedata o:title=""/>
              <o:lock v:ext="edit" aspectratio="f"/>
              <v:textbox inset="0mm,0mm,0mm,0mm">
                <w:txbxContent>
                  <w:p w14:paraId="01EEBEE8">
                    <w:pPr>
                      <w:pStyle w:val="4"/>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1CB3">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5"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6C8DC4D">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LPHqJwFAgAADQQAAA4AAABkcnMvZTJvRG9jLnhtbK1TwY7TMBC9I/EP lu80baVFJWq6QlRFSCu20rIf4DpOY8n2WGO3SfkA+ANOXLjzXfsdjJ20CwuHPXBxnseT53lvxsvr 3hp2VBg0uIrPJlPOlJNQa7ev+P2nzasFZyEKVwsDTlX8pAK/Xr18sex8qebQgqkVMiJxoex8xdsY fVkUQbbKijABrxwdNoBWRNrivqhRdMRuTTGfTl8XHWDtEaQKgaLr4ZCPjPgcQmgaLdUa5MEqFwdW VEZEkhRa7QNf5WqbRsl42zRBRWYqTkpjXukSwru0FqulKPcofKvlWIJ4TglPNFmhHV16oVqLKNgB 9V9UVkuEAE2cSLDFICQ7Qipm0yfe3LXCq6yFrA7+Ynr4f7Ty43GLTNc0CVdvrjhzwlLPH759ffj+ 8+HHFzabJ4s6H0rKvPNbHHeBYNLbN2jTl5SwPtt6utiq+sgkBWeL+WIxJcclnZ03xFM8/u4xxPcK LEug4kh9y3aK402IQ+o5Jd3mYKONobgojfsjQJwpUqSKhxoTiv2uHwvfQX0ixQjDKAQvN5ruvBEh bgVS76lOeh3xlpbGQFdxGBFnLeDnf8VTPrWETjnraJYq7ujpcGY+OGpVGrszwDPYnYE72HdAwznj DKPJkH4QThJdxSNnB4963+Zqk9Lg3x4iyc+uJG2DoFEyTUn2dZzoNIa/73PW4yte/QJQSwMECgAA AAAAh07iQAAAAAAAAAAAAAAAAAYAAABfcmVscy9QSwMEFAAAAAgAh07iQIoUZjzRAAAAlAEAAAsA AABfcmVscy8ucmVsc6WQwWrDMAyG74O9g9F9cZrDGKNOL6PQa+kewNiKYxpbRjLZ+vbzDoNl9Laj fqHvE//+8JkWtSJLpGxg1/WgMDvyMQcD75fj0wsoqTZ7u1BGAzcUOIyPD/szLra2I5ljEdUoWQzM tZZXrcXNmKx0VDC3zUScbG0jB12su9qAeuj7Z82/GTBumOrkDfDJD6Aut9LMf9gpOiahqXaOkqZp iu4eVQe2ZY7uyDbhG7lGsxywGvAsGgdqWdd+BH1fv/un3tNHPuO61X6HjOuPV2+6HL8AUEsDBBQA AAAIAIdO4kB+5uUg9wAAAOEBAAATAAAAW0NvbnRlbnRfVHlwZXNdLnhtbJWRQU7DMBBF90jcwfIW JU67QAgl6YK0S0CoHGBkTxKLZGx5TGhvj5O2G0SRWNoz/78nu9wcxkFMGNg6quQqL6RA0s5Y6ir5 vt9lD1JwBDIwOMJKHpHlpr69KfdHjyxSmriSfYz+USnWPY7AufNIadK6MEJMx9ApD/oDOlTrorhX 2lFEilmcO2RdNtjC5xDF9pCuTyYBB5bi6bQ4syoJ3g9WQ0ymaiLzg5KdCXlKLjvcW893SUOqXwnz 5DrgnHtJTxOsQfEKIT7DmDSUCayM+6KAU/53yWw5cuba1mrMm8BNir3hdLG61o5r1zj93/Ltkrp0 q+WD6m9QSwECFAAUAAAACACHTuJAfublIPcAAADhAQAAEwAAAAAAAAABACAAAABuBAAAW0NvbnRl bnRfVHlwZXNdLnhtbFBLAQIUAAoAAAAAAIdO4kAAAAAAAAAAAAAAAAAGAAAAAAAAAAAAEAAAAFAD AABfcmVscy9QSwECFAAUAAAACACHTuJAihRmPNEAAACUAQAACwAAAAAAAAABACAAAAB0AwAAX3Jl bHMvLnJlbHNQSwECFAAKAAAAAACHTuJAAAAAAAAAAAAAAAAABAAAAAAAAAAAABAAAAAAAAAAZHJz L1BLAQIUABQAAAAIAIdO4kC5dblS0AAAAAUBAAAPAAAAAAAAAAEAIAAAACIAAABkcnMvZG93bnJl di54bWxQSwECFAAUAAAACACHTuJAs8eonAUCAAANBAAADgAAAAAAAAABACAAAAAfAQAAZHJzL2Uy b0RvYy54bWxQSwUGAAAAAAYABgBZAQAAlgUAAAAA ">
              <v:fill on="f" focussize="0,0"/>
              <v:stroke on="f"/>
              <v:imagedata o:title=""/>
              <o:lock v:ext="edit" aspectratio="f"/>
              <v:textbox inset="0mm,0mm,0mm,0mm" style="mso-fit-shape-to-text:t;">
                <w:txbxContent>
                  <w:p w14:paraId="66C8DC4D">
                    <w:pPr>
                      <w:pStyle w:val="4"/>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FD5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84F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C82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6B51D"/>
    <w:multiLevelType w:val="singleLevel"/>
    <w:tmpl w:val="FF76B51D"/>
    <w:lvl w:ilvl="0" w:tentative="0">
      <w:start w:val="4"/>
      <w:numFmt w:val="chineseCounting"/>
      <w:suff w:val="space"/>
      <w:lvlText w:val="第%1部"/>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1" w:edit="comments" w:salt="635WBlwamVVMn2yCFwhvzg==" w:hash="dkwMRMq8prG7HVupjqiiU3q2vPH5oFIvMqeZZpZ0SPRWkK1g81xUM6rxaAllFB7/wU9h3I2ijA4ytF9Kt4DaSw==" w:cryptSpinCount="100000" w:cryptAlgorithmType="typeAny" w:cryptAlgorithmClass="hash" w:cryptProviderType="rsaAES" w:cryptAlgorithmSid="14"/>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1E536C73"/>
    <w:rsid w:val="77BF9177"/>
    <w:rsid w:val="7FF728C2"/>
    <w:rsid w:val="9EFB63C1"/>
    <w:rsid w:val="FDBA3D1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Indent 2"/>
    <w:basedOn w:val="1"/>
    <w:autoRedefine/>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character" w:customStyle="1" w:styleId="10">
    <w:name w:val="Body text|5_"/>
    <w:basedOn w:val="8"/>
    <w:autoRedefine/>
    <w:qFormat/>
    <w:uiPriority w:val="0"/>
    <w:rPr>
      <w:rFonts w:ascii="宋体" w:hAnsi="宋体" w:eastAsia="宋体" w:cs="宋体"/>
      <w:sz w:val="54"/>
      <w:szCs w:val="54"/>
      <w:u w:val="none"/>
      <w:shd w:val="clear" w:color="auto" w:fill="auto"/>
      <w:lang w:val="zh-TW" w:eastAsia="zh-TW" w:bidi="zh-TW"/>
    </w:rPr>
  </w:style>
  <w:style w:type="paragraph" w:customStyle="1" w:styleId="11">
    <w:name w:val="Body text|5"/>
    <w:basedOn w:val="1"/>
    <w:autoRedefine/>
    <w:qFormat/>
    <w:uiPriority w:val="0"/>
    <w:pPr>
      <w:jc w:val="center"/>
    </w:pPr>
    <w:rPr>
      <w:rFonts w:ascii="宋体" w:hAnsi="宋体" w:eastAsia="宋体" w:cs="宋体"/>
      <w:sz w:val="54"/>
      <w:szCs w:val="54"/>
      <w:lang w:val="zh-TW" w:eastAsia="zh-TW" w:bidi="zh-TW"/>
    </w:rPr>
  </w:style>
  <w:style w:type="character" w:customStyle="1" w:styleId="12">
    <w:name w:val="Heading #1|1_"/>
    <w:basedOn w:val="8"/>
    <w:autoRedefine/>
    <w:qFormat/>
    <w:uiPriority w:val="0"/>
    <w:rPr>
      <w:rFonts w:ascii="宋体" w:hAnsi="宋体" w:eastAsia="宋体" w:cs="宋体"/>
      <w:sz w:val="44"/>
      <w:szCs w:val="44"/>
      <w:u w:val="none"/>
      <w:shd w:val="clear" w:color="auto" w:fill="auto"/>
      <w:lang w:val="zh-TW" w:eastAsia="zh-TW" w:bidi="zh-TW"/>
    </w:rPr>
  </w:style>
  <w:style w:type="paragraph" w:customStyle="1" w:styleId="13">
    <w:name w:val="Heading #1|1"/>
    <w:basedOn w:val="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4">
    <w:name w:val="Header or footer|2_"/>
    <w:basedOn w:val="8"/>
    <w:autoRedefine/>
    <w:qFormat/>
    <w:uiPriority w:val="0"/>
    <w:rPr>
      <w:sz w:val="20"/>
      <w:szCs w:val="20"/>
      <w:u w:val="none"/>
      <w:shd w:val="clear" w:color="auto" w:fill="auto"/>
      <w:lang w:val="zh-TW" w:eastAsia="zh-TW" w:bidi="zh-TW"/>
    </w:rPr>
  </w:style>
  <w:style w:type="paragraph" w:customStyle="1" w:styleId="15">
    <w:name w:val="Header or footer|2"/>
    <w:basedOn w:val="1"/>
    <w:autoRedefine/>
    <w:qFormat/>
    <w:uiPriority w:val="0"/>
    <w:rPr>
      <w:sz w:val="20"/>
      <w:szCs w:val="20"/>
      <w:lang w:val="zh-TW" w:eastAsia="zh-TW" w:bidi="zh-TW"/>
    </w:rPr>
  </w:style>
  <w:style w:type="character" w:customStyle="1" w:styleId="16">
    <w:name w:val="Body text|2_"/>
    <w:basedOn w:val="8"/>
    <w:autoRedefine/>
    <w:qFormat/>
    <w:uiPriority w:val="0"/>
    <w:rPr>
      <w:rFonts w:ascii="宋体" w:hAnsi="宋体" w:eastAsia="宋体" w:cs="宋体"/>
      <w:sz w:val="32"/>
      <w:szCs w:val="32"/>
      <w:u w:val="none"/>
      <w:shd w:val="clear" w:color="auto" w:fill="auto"/>
      <w:lang w:val="zh-TW" w:eastAsia="zh-TW" w:bidi="zh-TW"/>
    </w:rPr>
  </w:style>
  <w:style w:type="paragraph" w:customStyle="1" w:styleId="17">
    <w:name w:val="Body text|2"/>
    <w:basedOn w:val="1"/>
    <w:autoRedefine/>
    <w:qFormat/>
    <w:uiPriority w:val="0"/>
    <w:pPr>
      <w:spacing w:after="240"/>
      <w:ind w:firstLine="560"/>
    </w:pPr>
    <w:rPr>
      <w:rFonts w:ascii="宋体" w:hAnsi="宋体" w:eastAsia="宋体" w:cs="宋体"/>
      <w:sz w:val="32"/>
      <w:szCs w:val="32"/>
      <w:lang w:val="zh-TW" w:eastAsia="zh-TW" w:bidi="zh-TW"/>
    </w:rPr>
  </w:style>
  <w:style w:type="character" w:customStyle="1" w:styleId="18">
    <w:name w:val="Body text|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0">
    <w:name w:val="Header or footer|1_"/>
    <w:basedOn w:val="8"/>
    <w:autoRedefine/>
    <w:qFormat/>
    <w:uiPriority w:val="0"/>
    <w:rPr>
      <w:b/>
      <w:bCs/>
      <w:sz w:val="17"/>
      <w:szCs w:val="17"/>
      <w:u w:val="none"/>
      <w:shd w:val="clear" w:color="auto" w:fill="auto"/>
      <w:lang w:val="zh-TW" w:eastAsia="zh-TW" w:bidi="zh-TW"/>
    </w:rPr>
  </w:style>
  <w:style w:type="paragraph" w:customStyle="1" w:styleId="21">
    <w:name w:val="Header or footer|1"/>
    <w:basedOn w:val="1"/>
    <w:autoRedefine/>
    <w:qFormat/>
    <w:uiPriority w:val="0"/>
    <w:rPr>
      <w:b/>
      <w:bCs/>
      <w:sz w:val="17"/>
      <w:szCs w:val="17"/>
      <w:lang w:val="zh-TW" w:eastAsia="zh-TW" w:bidi="zh-TW"/>
    </w:rPr>
  </w:style>
  <w:style w:type="character" w:customStyle="1" w:styleId="22">
    <w:name w:val="Heading #2|1_"/>
    <w:basedOn w:val="8"/>
    <w:autoRedefine/>
    <w:qFormat/>
    <w:uiPriority w:val="0"/>
    <w:rPr>
      <w:rFonts w:ascii="宋体" w:hAnsi="宋体" w:eastAsia="宋体" w:cs="宋体"/>
      <w:sz w:val="26"/>
      <w:szCs w:val="26"/>
      <w:u w:val="none"/>
      <w:shd w:val="clear" w:color="auto" w:fill="auto"/>
      <w:lang w:val="zh-TW" w:eastAsia="zh-TW" w:bidi="zh-TW"/>
    </w:rPr>
  </w:style>
  <w:style w:type="paragraph" w:customStyle="1" w:styleId="23">
    <w:name w:val="Heading #2|1"/>
    <w:basedOn w:val="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4">
    <w:name w:val="Other|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25">
    <w:name w:val="Other|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6">
    <w:name w:val="Table caption|1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7">
    <w:name w:val="Table caption|1"/>
    <w:basedOn w:val="1"/>
    <w:autoRedefine/>
    <w:qFormat/>
    <w:uiPriority w:val="0"/>
    <w:rPr>
      <w:rFonts w:ascii="宋体" w:hAnsi="宋体" w:eastAsia="宋体" w:cs="宋体"/>
      <w:sz w:val="17"/>
      <w:szCs w:val="17"/>
      <w:lang w:val="zh-TW" w:eastAsia="zh-TW" w:bidi="zh-TW"/>
    </w:rPr>
  </w:style>
  <w:style w:type="character" w:customStyle="1" w:styleId="28">
    <w:name w:val="Body text|4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9">
    <w:name w:val="Body text|4"/>
    <w:basedOn w:val="1"/>
    <w:autoRedefine/>
    <w:qFormat/>
    <w:uiPriority w:val="0"/>
    <w:pPr>
      <w:ind w:firstLine="680"/>
    </w:pPr>
    <w:rPr>
      <w:rFonts w:ascii="宋体" w:hAnsi="宋体" w:eastAsia="宋体" w:cs="宋体"/>
      <w:sz w:val="17"/>
      <w:szCs w:val="17"/>
      <w:lang w:val="zh-TW" w:eastAsia="zh-TW" w:bidi="zh-TW"/>
    </w:rPr>
  </w:style>
  <w:style w:type="character" w:customStyle="1" w:styleId="30">
    <w:name w:val="Body text|3_"/>
    <w:basedOn w:val="8"/>
    <w:autoRedefine/>
    <w:qFormat/>
    <w:uiPriority w:val="0"/>
    <w:rPr>
      <w:sz w:val="30"/>
      <w:szCs w:val="30"/>
      <w:u w:val="none"/>
      <w:shd w:val="clear" w:color="auto" w:fill="auto"/>
      <w:lang w:val="zh-TW" w:eastAsia="zh-TW" w:bidi="zh-TW"/>
    </w:rPr>
  </w:style>
  <w:style w:type="paragraph" w:customStyle="1" w:styleId="31">
    <w:name w:val="Body text|3"/>
    <w:basedOn w:val="1"/>
    <w:autoRedefine/>
    <w:qFormat/>
    <w:uiPriority w:val="0"/>
    <w:pPr>
      <w:spacing w:after="140" w:line="336" w:lineRule="auto"/>
      <w:ind w:firstLine="370"/>
    </w:pPr>
    <w:rPr>
      <w:sz w:val="30"/>
      <w:szCs w:val="30"/>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harts/chart1.xml" Type="http://schemas.openxmlformats.org/officeDocument/2006/relationships/chart"/><Relationship Id="rId12" Target="charts/chart2.xml" Type="http://schemas.openxmlformats.org/officeDocument/2006/relationships/chart"/><Relationship Id="rId13" Target="charts/chart3.xml" Type="http://schemas.openxmlformats.org/officeDocument/2006/relationships/chart"/><Relationship Id="rId14" Target="charts/chart4.xml" Type="http://schemas.openxmlformats.org/officeDocument/2006/relationships/chart"/><Relationship Id="rId15" Target="charts/chart5.xml" Type="http://schemas.openxmlformats.org/officeDocument/2006/relationships/chart"/><Relationship Id="rId16" Target="charts/chart6.xml" Type="http://schemas.openxmlformats.org/officeDocument/2006/relationships/chart"/><Relationship Id="rId17" Target="../customXml/item1.xml" Type="http://schemas.openxmlformats.org/officeDocument/2006/relationships/customXml"/><Relationship Id="rId18" Target="numbering.xml" Type="http://schemas.openxmlformats.org/officeDocument/2006/relationships/numbering"/><Relationship Id="rId19" Target="../customXml/item2.xml" Type="http://schemas.openxmlformats.org/officeDocument/2006/relationships/customXml"/><Relationship Id="rId2" Target="settings.xml" Type="http://schemas.openxmlformats.org/officeDocument/2006/relationships/settings"/><Relationship Id="rId20" Target="../customXml/item3.xml" Type="http://schemas.openxmlformats.org/officeDocument/2006/relationships/customXml"/><Relationship Id="rId21" Target="../customXml/item4.xml" Type="http://schemas.openxmlformats.org/officeDocument/2006/relationships/customXml"/><Relationship Id="rId22"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charts/_rels/chart1.xml.rels><?xml version="1.0" encoding="UTF-8" standalone="yes"?><Relationships xmlns="http://schemas.openxmlformats.org/package/2006/relationships"><Relationship Id="rId1" Target="../embeddings/Workbook1.xlsx" Type="http://schemas.openxmlformats.org/officeDocument/2006/relationships/package"/></Relationships>
</file>

<file path=word/charts/_rels/chart2.xml.rels><?xml version="1.0" encoding="UTF-8" standalone="yes"?><Relationships xmlns="http://schemas.openxmlformats.org/package/2006/relationships"><Relationship Id="rId1" Target="../embeddings/Workbook5.xlsx" Type="http://schemas.openxmlformats.org/officeDocument/2006/relationships/package"/></Relationships>
</file>

<file path=word/charts/_rels/chart3.xml.rels><?xml version="1.0" encoding="UTF-8" standalone="yes"?><Relationships xmlns="http://schemas.openxmlformats.org/package/2006/relationships"><Relationship Id="rId1" Target="../embeddings/Workbook6.xlsx" Type="http://schemas.openxmlformats.org/officeDocument/2006/relationships/package"/></Relationships>
</file>

<file path=word/charts/_rels/chart4.xml.rels><?xml version="1.0" encoding="UTF-8" standalone="yes"?><Relationships xmlns="http://schemas.openxmlformats.org/package/2006/relationships"><Relationship Id="rId1" Target="../embeddings/Workbook2.xlsx" Type="http://schemas.openxmlformats.org/officeDocument/2006/relationships/package"/></Relationships>
</file>

<file path=word/charts/_rels/chart5.xml.rels><?xml version="1.0" encoding="UTF-8" standalone="yes"?><Relationships xmlns="http://schemas.openxmlformats.org/package/2006/relationships"><Relationship Id="rId1" Target="../embeddings/Workbook3.xlsx" Type="http://schemas.openxmlformats.org/officeDocument/2006/relationships/package"/></Relationships>
</file>

<file path=word/charts/_rels/chart6.xml.rels><?xml version="1.0" encoding="UTF-8" standalone="yes"?><Relationships xmlns="http://schemas.openxmlformats.org/package/2006/relationships"><Relationship Id="rId1" Target="../embeddings/Workbook4.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4112.67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Pt>
            <c:idx val="4"/>
            <c:bubble3D val="0"/>
          </c:dPt>
          <c:dPt>
            <c:idx val="5"/>
            <c:bubble3D val="0"/>
          </c:dPt>
          <c:dLbls>
            <c:delete val="1"/>
          </c:dLbls>
          <c:cat>
            <c:strRef>
              <c:f>Sheet1!$A$2:$A$7</c:f>
              <c:strCache>
                <c:ptCount val="6"/>
                <c:pt idx="0">
                  <c:v>公共安全支出</c:v>
                </c:pt>
                <c:pt idx="1">
                  <c:v>教育支出</c:v>
                </c:pt>
                <c:pt idx="2">
                  <c:v>科学技术支出</c:v>
                </c:pt>
                <c:pt idx="3">
                  <c:v>社会保障和就业支出</c:v>
                </c:pt>
                <c:pt idx="4">
                  <c:v>卫生健康支出</c:v>
                </c:pt>
                <c:pt idx="5">
                  <c:v>住房保障支出</c:v>
                </c:pt>
              </c:strCache>
            </c:strRef>
          </c:cat>
          <c:val>
            <c:numRef>
              <c:f>Sheet1!$B$2:$B$7</c:f>
              <c:numCache>
                <c:formatCode>General</c:formatCode>
                <c:ptCount val="6"/>
                <c:pt idx="0">
                  <c:v>1407.26</c:v>
                </c:pt>
                <c:pt idx="1">
                  <c:v>30.15</c:v>
                </c:pt>
                <c:pt idx="2">
                  <c:v>1624.92</c:v>
                </c:pt>
                <c:pt idx="3">
                  <c:v>595.17</c:v>
                </c:pt>
                <c:pt idx="4">
                  <c:v>213.95</c:v>
                </c:pt>
                <c:pt idx="5">
                  <c:v>241.22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4436.8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4112.67</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3872.67</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240</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398.34</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3474.33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3474.33</c:v>
                </c:pt>
                <c:pt idx="1">
                  <c:v>398.34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3</c:v>
                </c:pt>
                <c:pt idx="2">
                  <c:v>38</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3</c:v>
                </c:pt>
                <c:pt idx="2">
                  <c:v>40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xmlns="http://schemas.openxmlformats.org/officeDocument/2006/custom-properties" name="KSOProductBuildVer" fmtid="{D5CDD505-2E9C-101B-9397-08002B2CF9AE}" pid="2">
    <vt:lpwstr xmlns:vt="http://schemas.openxmlformats.org/officeDocument/2006/docPropsVTypes">2052-12.1.0.16120</vt:lpwstr>
  </property>
  <property xmlns="http://schemas.openxmlformats.org/officeDocument/2006/custom-properties" name="ICV" fmtid="{D5CDD505-2E9C-101B-9397-08002B2CF9AE}" pid="3">
    <vt:lpwstr xmlns:vt="http://schemas.openxmlformats.org/officeDocument/2006/docPropsVTypes">A606F1B91E1D407FA43C526110592D31_13</vt:lpwstr>
  </property>
</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Normal.dotm</Template>
  <Pages xmlns="http://schemas.openxmlformats.org/officeDocument/2006/extended-properties">35</Pages>
  <Words xmlns="http://schemas.openxmlformats.org/officeDocument/2006/extended-properties">8576</Words>
  <Characters xmlns="http://schemas.openxmlformats.org/officeDocument/2006/extended-properties">11046</Characters>
  <Lines xmlns="http://schemas.openxmlformats.org/officeDocument/2006/extended-properties">105</Lines>
  <Paragraphs xmlns="http://schemas.openxmlformats.org/officeDocument/2006/extended-properties">29</Paragraphs>
  <TotalTime xmlns="http://schemas.openxmlformats.org/officeDocument/2006/extended-properties">5</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11333</CharactersWithSpaces>
  <Application xmlns="http://schemas.openxmlformats.org/officeDocument/2006/extended-properties">WPS Office_12.1.0.16120_F1E327BC-269C-435d-A152-05C5408002CA</Application>
  <DocSecurity xmlns="http://schemas.openxmlformats.org/officeDocument/2006/extended-properties">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mlns:dcterms="http://purl.org/dc/terms/" xmlns:xsi="http://www.w3.org/2001/XMLSchema-instance" xsi:type="dcterms:W3CDTF">2023-02-07T06:11:00Z</dcterms:created>
  <dc:creator xmlns:dc="http://purl.org/dc/elements/1.1/">蔡冬冬</dc:creator>
  <cp:lastModifiedBy xmlns:cp="http://schemas.openxmlformats.org/package/2006/metadata/core-properties">C D D</cp:lastModifiedBy>
  <dcterms:modified xmlns:dcterms="http://purl.org/dc/terms/" xmlns:xsi="http://www.w3.org/2001/XMLSchema-instance" xsi:type="dcterms:W3CDTF">2025-02-23T12:17:10Z</dcterms:modified>
  <cp:revision xmlns:cp="http://schemas.openxmlformats.org/package/2006/metadata/core-properties">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05cbc4-4f80-490e-8a91-77e4811a2929}">
  <ds:schemaRefs/>
</ds:datastoreItem>
</file>

<file path=customXml/itemProps3.xml><?xml version="1.0" encoding="utf-8"?>
<ds:datastoreItem xmlns:ds="http://schemas.openxmlformats.org/officeDocument/2006/customXml" ds:itemID="{f5f9ae46-b87c-4d44-9d82-54556adc53ca}">
  <ds:schemaRefs/>
</ds:datastoreItem>
</file>

<file path=customXml/itemProps4.xml><?xml version="1.0" encoding="utf-8"?>
<ds:datastoreItem xmlns:ds="http://schemas.openxmlformats.org/officeDocument/2006/customXml" ds:itemID="{42c508b0-fd85-40eb-bd84-7051578d0b10}">
  <ds:schemaRefs/>
</ds:datastoreItem>
</file>

<file path=docProps/app.xml><?xml version="1.0" encoding="utf-8"?>
<Properties xmlns="http://schemas.openxmlformats.org/officeDocument/2006/extended-properties" xmlns:vt="http://schemas.openxmlformats.org/officeDocument/2006/docPropsVTypes">
  <Pages>30</Pages>
  <Words>8576</Words>
  <Characters>11046</Characters>
  <Lines>105</Lines>
  <Paragraphs>29</Paragraphs>
  <TotalTime>5</TotalTime>
  <ScaleCrop>false</ScaleCrop>
  <LinksUpToDate>false</LinksUpToDate>
  <CharactersWithSpaces>11333</CharactersWithSpaces>
  <Application>WPS Office WWO_base_provider_20250107171338-7e3eb3042c</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2023-02-08T06:11:00Z</dcterms:created>
  <dc:creator>蔡冬冬</dc:creator>
  <cp:lastModifiedBy>C D D</cp:lastModifiedBy>
  <dcterms:modified xsi:type="dcterms:W3CDTF">2025-02-28T21:35:32Z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74C050A41632D145A4BBC1677B53FAFE_43</vt:lpwstr>
  </property>
</Properties>
</file>