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Bodytext|5"/>
        <w:jc w:val="center"/>
        <w:rPr>
          <w:rFonts w:ascii="华文中宋" w:eastAsia="华文中宋" w:hAnsi="华文中宋" w:cs="华文中宋" w:hint="eastAsia"/>
          <w:sz w:val="44"/>
          <w:szCs w:val="44"/>
          <w:lang w:eastAsia="zh-CN"/>
        </w:rPr>
      </w:pPr>
      <w:r>
        <w:rPr>
          <w:rFonts w:ascii="华文中宋" w:eastAsia="华文中宋" w:hAnsi="华文中宋" w:cs="华文中宋" w:hint="eastAsia"/>
          <w:sz w:val="44"/>
          <w:szCs w:val="44"/>
          <w:lang w:eastAsia="zh-CN"/>
        </w:rPr>
        <w:t xml:space="preserve">河池市人民政府驻南宁办事处</w:t>
      </w:r>
    </w:p>
    <w:p>
      <w:pPr>
        <w:pStyle w:val="Bodytext|5"/>
        <w:jc w:val="center"/>
        <w:rPr>
          <w:rFonts w:ascii="宋体" w:eastAsia="宋体" w:hAnsi="宋体" w:asciiTheme="minorEastAsia" w:eastAsiaTheme="minorEastAsia" w:hAnsiTheme="minorEastAsia" w:cs="Arial" w:cstheme="minorEastAsia" w:hint="eastAsia"/>
          <w:sz w:val="32"/>
          <w:szCs w:val="32"/>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ascii="华文中宋" w:eastAsia="华文中宋" w:hAnsi="华文中宋" w:cs="华文中宋" w:hint="eastAsia"/>
          <w:sz w:val="44"/>
          <w:szCs w:val="44"/>
          <w:lang w:eastAsia="zh-CN"/>
        </w:rPr>
        <w:t xml:space="preserve">2024</w:t>
      </w:r>
      <w:r>
        <w:rPr>
          <w:rFonts w:ascii="华文中宋" w:eastAsia="华文中宋" w:hAnsi="华文中宋" w:cs="华文中宋" w:hint="eastAsia"/>
          <w:sz w:val="44"/>
          <w:szCs w:val="44"/>
          <w:u w:color="auto"/>
        </w:rPr>
        <w:t xml:space="preserve">年</w:t>
      </w:r>
      <w:r>
        <w:rPr>
          <w:rFonts w:ascii="华文中宋" w:eastAsia="华文中宋" w:hAnsi="华文中宋" w:cs="华文中宋" w:hint="eastAsia"/>
          <w:sz w:val="44"/>
          <w:szCs w:val="44"/>
        </w:rPr>
        <w:t xml:space="preserve">度部门预算</w:t>
      </w:r>
      <w:r>
        <w:rPr>
          <w:rFonts w:ascii="华文中宋" w:eastAsia="华文中宋" w:hAnsi="华文中宋" w:cs="华文中宋" w:hint="eastAsia"/>
          <w:sz w:val="44"/>
          <w:szCs w:val="44"/>
          <w:lang w:val="en-US" w:eastAsia="zh-CN"/>
        </w:rPr>
        <w:t xml:space="preserve">公开及“三公”经费预算编制说明</w:t>
      </w:r>
    </w:p>
    <w:p>
      <w:pPr>
        <w:pStyle w:val="Heading#1|1"/>
        <w:keepNext/>
        <w:keepLines/>
        <w:spacing w:after="240"/>
        <w:jc w:val="center"/>
        <w:rPr>
          <w:rFonts w:ascii="黑体" w:eastAsia="黑体" w:hAnsi="黑体" w:cs="黑体" w:hint="eastAsia"/>
          <w:sz w:val="32"/>
          <w:szCs w:val="32"/>
        </w:rPr>
      </w:pPr>
      <w:bookmarkStart w:id="0" w:name="bookmark2"/>
      <w:bookmarkStart w:id="1" w:name="bookmark0"/>
      <w:bookmarkStart w:id="2" w:name="bookmark1"/>
      <w:r>
        <w:rPr>
          <w:rFonts w:ascii="黑体" w:eastAsia="黑体" w:hAnsi="黑体" w:cs="黑体" w:hint="eastAsia"/>
          <w:sz w:val="32"/>
          <w:szCs w:val="32"/>
        </w:rPr>
        <w:t xml:space="preserve">目</w:t>
      </w:r>
      <w:r>
        <w:rPr>
          <w:rFonts w:ascii="黑体" w:eastAsia="黑体" w:hAnsi="黑体" w:cs="黑体" w:hint="eastAsia"/>
          <w:sz w:val="32"/>
          <w:szCs w:val="32"/>
        </w:rPr>
        <w:t xml:space="preserve">录</w:t>
      </w:r>
      <w:bookmarkEnd w:id="0"/>
      <w:bookmarkEnd w:id="1"/>
      <w:bookmarkEnd w:id="2"/>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第一部分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河池市人民政府驻南宁办事处</w:t>
      </w:r>
      <w:r>
        <w:rPr>
          <w:rFonts w:ascii="黑体" w:eastAsia="黑体" w:hAnsi="黑体" w:cs="黑体"/>
          <w:sz w:val="32"/>
          <w:u w:color="auto"/>
        </w:rPr>
        <w:t xml:space="preserve">单位</w:t>
      </w:r>
      <w:r>
        <w:rPr>
          <w:rFonts w:ascii="黑体" w:eastAsia="黑体" w:hAnsi="黑体" w:cs="黑体" w:hint="eastAsia"/>
          <w:sz w:val="32"/>
          <w:szCs w:val="32"/>
        </w:rPr>
        <w:t xml:space="preserve">概况</w:t>
      </w:r>
    </w:p>
    <w:p>
      <w:pPr>
        <w:pStyle w:val="Bodytext|2"/>
        <w:jc w:val="left"/>
        <w:rPr>
          <w:rFonts w:ascii="宋体" w:eastAsia="宋体" w:hAnsi="宋体" w:asciiTheme="minorEastAsia" w:eastAsiaTheme="minorEastAsia" w:hAnsiTheme="minorEastAsia" w:cs="Arial" w:cstheme="minorEastAsia" w:hint="eastAsia"/>
          <w:b w:val="0"/>
          <w:bCs w:val="0"/>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一、主要职责</w:t>
      </w:r>
    </w:p>
    <w:p>
      <w:pPr>
        <w:pStyle w:val="Bodytext|2"/>
        <w:jc w:val="left"/>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rPr>
        <w:t xml:space="preserve">机构设置情况</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第二部分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河池市人民政府驻南宁办事处</w:t>
      </w:r>
      <w:r>
        <w:rPr>
          <w:rFonts w:ascii="黑体" w:eastAsia="黑体" w:hAnsi="黑体" w:cs="黑体"/>
          <w:sz w:val="32"/>
          <w:u w:color="auto"/>
        </w:rPr>
        <w:t xml:space="preserve">2024</w:t>
      </w:r>
      <w:r>
        <w:rPr>
          <w:rFonts w:ascii="黑体" w:eastAsia="黑体" w:hAnsi="黑体" w:cs="黑体" w:hint="eastAsia"/>
          <w:sz w:val="32"/>
          <w:szCs w:val="32"/>
        </w:rPr>
        <w:t xml:space="preserve">部门预算情况说明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十、其他重要事项情况说明</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第三部分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河池市人民政府驻南宁办事处</w:t>
      </w:r>
      <w:r>
        <w:rPr>
          <w:rFonts w:ascii="黑体" w:eastAsia="黑体" w:hAnsi="黑体" w:cs="黑体"/>
          <w:sz w:val="32"/>
          <w:u w:color="auto"/>
        </w:rPr>
        <w:t xml:space="preserve">2024</w:t>
      </w:r>
      <w:r>
        <w:rPr>
          <w:rFonts w:ascii="黑体" w:eastAsia="黑体" w:hAnsi="黑体" w:cs="黑体" w:hint="eastAsia"/>
          <w:sz w:val="32"/>
          <w:szCs w:val="32"/>
          <w:u w:color="auto"/>
        </w:rPr>
        <w:t xml:space="preserve">年</w:t>
      </w:r>
      <w:r>
        <w:rPr>
          <w:rFonts w:ascii="黑体" w:eastAsia="黑体" w:hAnsi="黑体" w:cs="黑体" w:hint="eastAsia"/>
          <w:sz w:val="32"/>
          <w:szCs w:val="32"/>
        </w:rPr>
        <w:t xml:space="preserve">部门预算</w:t>
      </w:r>
      <w:r>
        <w:rPr>
          <w:rFonts w:ascii="黑体" w:eastAsia="黑体" w:hAnsi="黑体" w:cs="黑体" w:hint="eastAsia"/>
          <w:sz w:val="32"/>
          <w:szCs w:val="32"/>
          <w:lang w:val="en-US" w:eastAsia="zh-CN"/>
        </w:rPr>
        <w:t xml:space="preserve">相关报</w:t>
      </w:r>
      <w:r>
        <w:rPr>
          <w:rFonts w:ascii="黑体" w:eastAsia="黑体" w:hAnsi="黑体" w:cs="黑体" w:hint="eastAsia"/>
          <w:sz w:val="32"/>
          <w:szCs w:val="32"/>
        </w:rPr>
        <w:t xml:space="preserve">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九、国有资本经营预算支出情况表</w:t>
      </w:r>
    </w:p>
    <w:p>
      <w:pPr>
        <w:pStyle w:val="Bodytext|2"/>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十、2024年度预算项目绩效目标公开表</w:t>
      </w:r>
    </w:p>
    <w:p>
      <w:pPr>
        <w:pStyle w:val="Bodytext|2"/>
        <w:ind w:left="0" w:firstLine="320" w:leftChars="0" w:firstLineChars="100"/>
        <w:jc w:val="left"/>
        <w:rPr>
          <w:rFonts w:ascii="宋体" w:eastAsia="宋体" w:hAnsi="宋体" w:asciiTheme="minorEastAsia" w:eastAsiaTheme="minorEastAsia" w:hAnsiTheme="minorEastAsia" w:cs="Arial" w:cstheme="minorEastAsia" w:hint="eastAsia"/>
          <w:sz w:val="32"/>
          <w:szCs w:val="32"/>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rPr>
          <w:rFonts w:ascii="黑体" w:eastAsia="黑体" w:hAnsi="黑体" w:cs="黑体" w:hint="eastAsia"/>
          <w:sz w:val="32"/>
          <w:szCs w:val="32"/>
        </w:rPr>
        <w:t xml:space="preserve">第四部分</w:t>
      </w:r>
      <w:r>
        <w:rPr>
          <w:rFonts w:ascii="黑体" w:eastAsia="黑体" w:hAnsi="黑体" w:cs="黑体" w:hint="eastAsia"/>
          <w:sz w:val="32"/>
          <w:szCs w:val="32"/>
          <w:lang w:eastAsia="zh-CN"/>
        </w:rPr>
        <w:t xml:space="preserve">：</w:t>
      </w:r>
      <w:r>
        <w:rPr>
          <w:rFonts w:ascii="黑体" w:eastAsia="黑体" w:hAnsi="黑体" w:cs="黑体" w:hint="eastAsia"/>
          <w:sz w:val="32"/>
          <w:szCs w:val="32"/>
        </w:rPr>
        <w:t xml:space="preserve">名词</w:t>
      </w:r>
      <w:r>
        <w:rPr>
          <w:rFonts w:ascii="黑体" w:eastAsia="黑体" w:hAnsi="黑体" w:cs="黑体" w:hint="eastAsia"/>
          <w:sz w:val="32"/>
          <w:szCs w:val="32"/>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ascii="黑体" w:eastAsia="黑体" w:hAnsi="黑体" w:cs="黑体" w:hint="eastAsia"/>
          <w:b w:val="0"/>
          <w:bCs w:val="0"/>
          <w:sz w:val="32"/>
          <w:szCs w:val="32"/>
        </w:rPr>
      </w:pPr>
      <w:bookmarkStart w:id="3" w:name="bookmark13"/>
      <w:bookmarkStart w:id="4" w:name="bookmark12"/>
      <w:bookmarkStart w:id="5" w:name="bookmark14"/>
      <w:r>
        <w:rPr>
          <w:rFonts w:ascii="黑体" w:eastAsia="黑体" w:hAnsi="黑体" w:cs="黑体" w:hint="eastAsia"/>
          <w:b w:val="0"/>
          <w:bCs w:val="0"/>
          <w:sz w:val="32"/>
          <w:szCs w:val="32"/>
        </w:rPr>
        <w:t xml:space="preserve">第一部分</w:t>
      </w:r>
      <w:r>
        <w:rPr>
          <w:rFonts w:ascii="黑体" w:eastAsia="黑体" w:hAnsi="黑体" w:cs="黑体" w:hint="eastAsia"/>
          <w:b w:val="0"/>
          <w:bCs w:val="0"/>
          <w:sz w:val="32"/>
          <w:szCs w:val="32"/>
          <w:lang w:eastAsia="zh-CN"/>
        </w:rPr>
        <w:t xml:space="preserve">：</w:t>
      </w:r>
      <w:r>
        <w:rPr>
          <w:rFonts w:ascii="黑体" w:eastAsia="黑体" w:hAnsi="黑体" w:cs="黑体"/>
          <w:sz w:val="32"/>
          <w:u w:color="auto"/>
        </w:rPr>
        <w:t xml:space="preserve">河池市人民政府驻南宁办事处</w:t>
      </w:r>
      <w:r>
        <w:rPr>
          <w:rFonts w:ascii="黑体" w:eastAsia="黑体" w:hAnsi="黑体" w:cs="黑体" w:hint="eastAsia"/>
          <w:b w:val="0"/>
          <w:bCs w:val="0"/>
          <w:sz w:val="32"/>
          <w:szCs w:val="32"/>
        </w:rPr>
        <w:t xml:space="preserve">概况</w:t>
      </w:r>
      <w:bookmarkEnd w:id="3"/>
      <w:bookmarkEnd w:id="4"/>
      <w:bookmarkEnd w:id="5"/>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一、</w:t>
      </w:r>
      <w:r>
        <w:rPr>
          <w:rFonts w:ascii="宋体" w:eastAsia="宋体" w:hAnsi="宋体" w:asciiTheme="minorEastAsia" w:eastAsiaTheme="minorEastAsia" w:hAnsiTheme="minorEastAsia" w:cs="Arial" w:cstheme="minorEastAsia" w:hint="eastAsia"/>
          <w:b/>
          <w:bCs/>
          <w:sz w:val="32"/>
          <w:szCs w:val="32"/>
        </w:rPr>
        <w:t xml:space="preserve">主要职责</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（一）按照市委、市人民政府的要求，做好我市与驻地所在省、市党政机关及有关部门的联系工作。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二）做好我市与驻地所在的省、市间的横向经济联合、贸易往来和文化教育交流等方面的联系工作；组织多种形式的经济技术合作，引进技术、资金、人才和管理经验；协助开展招商引资工作，联系驻地商会开展联谊工作；协助我市有关部门和企业开拓市场，推销我市产品，以及联系外事、旅游、对口帮扶等事务，为发展我市经济服务。</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（三）收集、传递国内外、区内外政治、经济、科技等方面的信息，为市委、市人民政府科学决策提供依据。</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四）宣传介绍河池的政治、经济情况，参与我市与联系地区之间有关重大活动的组织、协调和服务工作，充分发挥驻外办事机构的窗口和桥梁作用，促进我市与外省市的经济技术等方面的合作，为我市引进技术和资金合作等牵线搭桥。</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（五）做好接待工作，为我市有关领导到各驻外办事机构驻地开展公务活动提供服务，提高办事效率。</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（六）承办市委、市人民政府领导交办的其他事项及驻地所在省、市党政机关要求驻外办事机构办理的有关事项。</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bookmarkStart w:id="6" w:name="bookmark24"/>
      <w:r>
        <w:rPr>
          <w:rFonts w:ascii="宋体" w:eastAsia="宋体" w:hAnsi="宋体" w:asciiTheme="minorEastAsia" w:eastAsiaTheme="minorEastAsia" w:hAnsiTheme="minorEastAsia" w:cs="Arial" w:cstheme="minorEastAsia" w:hint="eastAsia"/>
          <w:b/>
          <w:bCs/>
          <w:sz w:val="32"/>
          <w:szCs w:val="32"/>
          <w:lang w:val="en-US" w:eastAsia="zh-CN"/>
        </w:rPr>
        <w:t xml:space="preserve">二</w:t>
      </w:r>
      <w:bookmarkEnd w:id="6"/>
      <w:r>
        <w:rPr>
          <w:rFonts w:ascii="宋体" w:eastAsia="宋体" w:hAnsi="宋体" w:asciiTheme="minorEastAsia" w:eastAsiaTheme="minorEastAsia" w:hAnsiTheme="minorEastAsia" w:cs="Arial" w:cstheme="minorEastAsia" w:hint="eastAsia"/>
          <w:b/>
          <w:bCs/>
          <w:sz w:val="32"/>
          <w:szCs w:val="32"/>
          <w:lang w:val="en-US" w:eastAsia="zh-CN"/>
        </w:rPr>
        <w:t xml:space="preserve">、机构设置情况</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河池市人民政府驻南宁办事处编制总数3人，实有在职在编人数3人，政府购买服务人员1名。</w:t>
      </w: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ascii="黑体" w:eastAsia="黑体" w:hAnsi="黑体" w:cs="黑体" w:hint="eastAsia"/>
          <w:b w:val="0"/>
          <w:bCs w:val="0"/>
          <w:sz w:val="32"/>
          <w:szCs w:val="32"/>
        </w:rPr>
      </w:pPr>
      <w:bookmarkStart w:id="7" w:name="bookmark69"/>
      <w:bookmarkStart w:id="8" w:name="bookmark68"/>
      <w:bookmarkStart w:id="9" w:name="bookmark70"/>
      <w:bookmarkStart w:id="10" w:name="bookmark26"/>
      <w:bookmarkStart w:id="11" w:name="bookmark28"/>
      <w:bookmarkStart w:id="12" w:name="bookmark27"/>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二</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w:t>
      </w:r>
      <w:bookmarkEnd w:id="7"/>
      <w:bookmarkEnd w:id="8"/>
      <w:bookmarkEnd w:id="9"/>
      <w:r>
        <w:rPr>
          <w:rFonts w:ascii="黑体" w:eastAsia="黑体" w:hAnsi="黑体" w:cs="黑体" w:hint="eastAsia"/>
          <w:b w:val="0"/>
          <w:bCs w:val="0"/>
          <w:sz w:val="32"/>
          <w:szCs w:val="32"/>
          <w:lang w:eastAsia="zh-CN"/>
        </w:rPr>
        <w:t xml:space="preserve">河池市人民政府驻南宁办事处</w:t>
      </w:r>
      <w:r>
        <w:rPr>
          <w:rFonts w:ascii="黑体" w:eastAsia="黑体" w:hAnsi="黑体" w:cs="黑体"/>
          <w:sz w:val="32"/>
          <w:u w:color="auto"/>
        </w:rPr>
        <w:t xml:space="preserve">2024</w:t>
      </w:r>
      <w:r>
        <w:rPr>
          <w:rFonts w:ascii="黑体" w:eastAsia="黑体" w:hAnsi="黑体" w:cs="黑体"/>
          <w:sz w:val="32"/>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3" w:name="bookmark71"/>
      <w:r>
        <w:rPr>
          <w:rFonts w:ascii="宋体" w:eastAsia="宋体" w:hAnsi="宋体" w:asciiTheme="minorEastAsia" w:eastAsiaTheme="minorEastAsia" w:hAnsiTheme="minorEastAsia" w:cs="Arial" w:cstheme="minorEastAsia" w:hint="eastAsia"/>
          <w:b/>
          <w:bCs/>
          <w:sz w:val="32"/>
          <w:szCs w:val="32"/>
          <w:lang w:val="en-US" w:eastAsia="zh-CN"/>
        </w:rPr>
        <w:t xml:space="preserve">一</w:t>
      </w:r>
      <w:bookmarkEnd w:id="13"/>
      <w:r>
        <w:rPr>
          <w:rFonts w:ascii="宋体" w:eastAsia="宋体" w:hAnsi="宋体" w:asciiTheme="minorEastAsia" w:eastAsiaTheme="minorEastAsia" w:hAnsiTheme="minorEastAsia" w:cs="Arial" w:cstheme="minorEastAsia" w:hint="eastAsia"/>
          <w:b/>
          <w:bCs/>
          <w:sz w:val="32"/>
          <w:szCs w:val="32"/>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rPr>
        <w:t xml:space="preserve">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143.99</w:t>
      </w:r>
      <w:r>
        <w:rPr>
          <w:rFonts w:ascii="宋体" w:eastAsia="宋体" w:hAnsi="宋体" w:asciiTheme="minorEastAsia" w:eastAsiaTheme="minorEastAsia" w:hAnsiTheme="minorEastAsia" w:cs="Arial" w:cstheme="minorEastAsia" w:hint="eastAsia"/>
          <w:b w:val="0"/>
          <w:bCs w:val="0"/>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rPr>
        <w:t xml:space="preserve">143.99</w:t>
      </w:r>
      <w:r>
        <w:rPr>
          <w:rFonts w:ascii="宋体" w:eastAsia="宋体" w:hAnsi="宋体" w:asciiTheme="minorEastAsia" w:eastAsiaTheme="minorEastAsia" w:hAnsiTheme="minorEastAsia" w:cs="Arial" w:cstheme="minorEastAsia" w:hint="eastAsia"/>
          <w:b w:val="0"/>
          <w:bCs w:val="0"/>
          <w:sz w:val="32"/>
          <w:szCs w:val="32"/>
        </w:rPr>
        <w:t xml:space="preserve">万元。总收入较2023年度预算数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95.17</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增加48.82</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增长51.30%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2023年9月贵南高铁开通，我办负责市四班领导乘坐高铁动车站的接驳相关工作。增加的接驳动车费用为:租赁车辆费用、聘用司机费用，运营费用等。</w:t>
      </w:r>
      <w:r>
        <w:rPr>
          <w:rFonts w:ascii="宋体" w:eastAsia="宋体" w:hAnsi="宋体" w:asciiTheme="minorEastAsia" w:eastAsiaTheme="minorEastAsia" w:hAnsiTheme="minorEastAsia" w:cs="Arial" w:cstheme="minorEastAsia" w:hint="eastAsia"/>
          <w:b w:val="0"/>
          <w:bCs w:val="0"/>
          <w:sz w:val="32"/>
          <w:szCs w:val="32"/>
        </w:rPr>
        <w:t xml:space="preserve">。总支出较2023年度预算数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95.17</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增加48.82</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增长51.30%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2023年9月贵南高铁开通，我办负责市四班领导乘坐高铁动车站的接驳相关工作。增加的接驳动车费用为:租赁车辆费用、聘用司机费用，运营费用等。</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二、部门收入总体情况说明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4257040" cy="3139440"/>
            <wp:effectExtent l="4445" t="4445" r="5715" b="18415"/>
            <wp:docPr id="1083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u w:color="auto"/>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143.99</w:t>
      </w:r>
      <w:r>
        <w:rPr>
          <w:rFonts w:ascii="宋体" w:eastAsia="宋体" w:hAnsi="宋体" w:asciiTheme="minorEastAsia" w:eastAsiaTheme="minorEastAsia" w:hAnsiTheme="minorEastAsia" w:cs="Arial" w:cstheme="minorEastAsia" w:hint="eastAsia"/>
          <w:sz w:val="32"/>
          <w:szCs w:val="32"/>
          <w:u w:color="auto"/>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95.17</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增加48.82</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增长51.30%</w:t>
      </w:r>
      <w:r>
        <w:rPr>
          <w:rFonts w:ascii="宋体" w:eastAsia="宋体" w:hAnsi="宋体" w:asciiTheme="minorEastAsia" w:eastAsiaTheme="minorEastAsia" w:hAnsiTheme="minorEastAsia" w:cs="Arial" w:cstheme="minorEastAsia" w:hint="eastAsia"/>
          <w:sz w:val="32"/>
          <w:szCs w:val="32"/>
          <w:u w:color="auto"/>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2023年9月贵南高铁开通，我办负责市四班领导乘坐高铁动车站的接驳相关工作。增加的接驳动车费用为:租赁车辆费用、聘用司机费用，运营费用等。</w:t>
      </w:r>
      <w:r>
        <w:rPr>
          <w:rFonts w:ascii="宋体" w:eastAsia="宋体" w:hAnsi="宋体" w:asciiTheme="minorEastAsia" w:eastAsiaTheme="minorEastAsia" w:hAnsiTheme="minorEastAsia" w:cs="Arial" w:cstheme="minorEastAsia" w:hint="eastAsia"/>
          <w:sz w:val="32"/>
          <w:szCs w:val="32"/>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三、部门支出总体情况说明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drawing>
          <wp:inline distT="0" distB="0" distL="114300" distR="114300">
            <wp:extent cx="5080000" cy="3810000"/>
            <wp:effectExtent l="4445" t="4445" r="20955" b="14605"/>
            <wp:docPr id="1083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年我部门总支出</w:t>
      </w:r>
      <w:r>
        <w:rPr>
          <w:rFonts w:ascii="宋体" w:eastAsia="宋体" w:hAnsi="宋体" w:asciiTheme="minorEastAsia" w:eastAsiaTheme="minorEastAsia" w:hAnsiTheme="minorEastAsia" w:cs="Arial" w:cstheme="minorEastAsia" w:hint="eastAsia"/>
          <w:sz w:val="32"/>
          <w:szCs w:val="32"/>
          <w:lang w:val="en-US" w:eastAsia="zh-CN"/>
        </w:rPr>
        <w:t xml:space="preserve">143.99</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95.17</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增加48.82</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增长51.30%</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2023年9月贵南高铁开通，我办负责市四班领导乘坐高铁动车站的接驳相关工作。增加的接驳动车费用为:租赁车辆费用、聘用司机费用，运营费用等。</w:t>
      </w:r>
      <w:r>
        <w:rPr>
          <w:rFonts w:ascii="宋体" w:eastAsia="宋体" w:hAnsi="宋体" w:asciiTheme="minorEastAsia" w:eastAsiaTheme="minorEastAsia" w:hAnsiTheme="minorEastAsia" w:cs="Arial" w:cstheme="minorEastAsia" w:hint="eastAsia"/>
          <w:sz w:val="32"/>
          <w:szCs w:val="32"/>
          <w:lang w:eastAsia="zh-CN"/>
        </w:rPr>
        <w:t xml:space="preserve">。主要包括：</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增加的接驳动车费用为:租赁车辆费用、聘用司机费用，运营费用等。</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（一）按支出功能分类科目划分，共分为</w:t>
      </w:r>
      <w:r>
        <w:rPr>
          <w:rFonts w:ascii="宋体" w:eastAsia="宋体" w:hAnsi="宋体" w:asciiTheme="minorEastAsia" w:eastAsiaTheme="minorEastAsia" w:hAnsiTheme="minorEastAsia" w:cs="Arial" w:cstheme="minorEastAsia" w:hint="eastAsia"/>
          <w:sz w:val="32"/>
          <w:szCs w:val="32"/>
          <w:lang w:val="en-US" w:eastAsia="zh-CN"/>
        </w:rPr>
        <w:t xml:space="preserve">5</w:t>
      </w:r>
      <w:r>
        <w:rPr>
          <w:rFonts w:ascii="宋体" w:eastAsia="宋体" w:hAnsi="宋体" w:asciiTheme="minorEastAsia" w:eastAsiaTheme="minorEastAsia" w:hAnsiTheme="minorEastAsia" w:cs="Arial" w:cstheme="minorEastAsia" w:hint="eastAsia"/>
          <w:sz w:val="32"/>
          <w:szCs w:val="32"/>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一般公共服务支出</w:t>
      </w:r>
      <w:r>
        <w:rPr>
          <w:rFonts w:ascii="宋体" w:eastAsia="宋体" w:hAnsi="宋体" w:asciiTheme="minorEastAsia" w:eastAsiaTheme="minorEastAsia" w:hAnsiTheme="minorEastAsia" w:cs="Arial" w:cstheme="minorEastAsia" w:hint="eastAsia"/>
          <w:sz w:val="32"/>
          <w:szCs w:val="32"/>
          <w:lang w:val="en-US" w:eastAsia="zh-CN"/>
        </w:rPr>
        <w:t xml:space="preserve">123.17</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85.54%</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增加48.25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增长64.40%</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基本支出的增长，由于是单位人员工资晋级晋升、社保基数调整后相对应的公共服务支出、教育支出、社保、医疗、住房保障支出都有所增加。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教育支出</w:t>
      </w:r>
      <w:r>
        <w:rPr>
          <w:rFonts w:ascii="宋体" w:eastAsia="宋体" w:hAnsi="宋体" w:asciiTheme="minorEastAsia" w:eastAsiaTheme="minorEastAsia" w:hAnsiTheme="minorEastAsia" w:cs="Arial" w:cstheme="minorEastAsia" w:hint="eastAsia"/>
          <w:sz w:val="32"/>
          <w:szCs w:val="32"/>
          <w:lang w:val="en-US" w:eastAsia="zh-CN"/>
        </w:rPr>
        <w:t xml:space="preserve">0.66</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0.46%</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增加0.04</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增长6.45%</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原因是在职职工工资正常增长及绩效增量增加了。</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社会保障和就业支出</w:t>
      </w:r>
      <w:r>
        <w:rPr>
          <w:rFonts w:ascii="宋体" w:eastAsia="宋体" w:hAnsi="宋体" w:asciiTheme="minorEastAsia" w:eastAsiaTheme="minorEastAsia" w:hAnsiTheme="minorEastAsia" w:cs="Arial" w:cstheme="minorEastAsia" w:hint="eastAsia"/>
          <w:sz w:val="32"/>
          <w:szCs w:val="32"/>
          <w:lang w:val="en-US" w:eastAsia="zh-CN"/>
        </w:rPr>
        <w:t xml:space="preserve">10.01</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6.95%</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增加0.04</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增长0.40%</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社保基数调整后相对应的社会保障和就业支出相对增加了。</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4</w:t>
      </w:r>
      <w:r>
        <w:rPr>
          <w:sz w:val="32"/>
          <w:u w:color="auto"/>
        </w:rPr>
        <w:t xml:space="preserve">)</w:t>
      </w:r>
      <w:r>
        <w:rPr>
          <w:sz w:val="32"/>
          <w:u w:color="auto"/>
        </w:rPr>
        <w:t xml:space="preserve">卫生健康支出</w:t>
      </w:r>
      <w:r>
        <w:rPr>
          <w:rFonts w:ascii="宋体" w:eastAsia="宋体" w:hAnsi="宋体" w:asciiTheme="minorEastAsia" w:eastAsiaTheme="minorEastAsia" w:hAnsiTheme="minorEastAsia" w:cs="Arial" w:cstheme="minorEastAsia" w:hint="eastAsia"/>
          <w:sz w:val="32"/>
          <w:szCs w:val="32"/>
          <w:lang w:val="en-US" w:eastAsia="zh-CN"/>
        </w:rPr>
        <w:t xml:space="preserve">4.91</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3.41%</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增加0.23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增长4.91%</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人员工资调整，卫生健康支出有所增加。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5</w:t>
      </w:r>
      <w:r>
        <w:rPr>
          <w:sz w:val="32"/>
          <w:u w:color="auto"/>
        </w:rPr>
        <w:t xml:space="preserve">)</w:t>
      </w:r>
      <w:r>
        <w:rPr>
          <w:sz w:val="32"/>
          <w:u w:color="auto"/>
        </w:rPr>
        <w:t xml:space="preserve">住房保障支出</w:t>
      </w:r>
      <w:r>
        <w:rPr>
          <w:rFonts w:ascii="宋体" w:eastAsia="宋体" w:hAnsi="宋体" w:asciiTheme="minorEastAsia" w:eastAsiaTheme="minorEastAsia" w:hAnsiTheme="minorEastAsia" w:cs="Arial" w:cstheme="minorEastAsia" w:hint="eastAsia"/>
          <w:sz w:val="32"/>
          <w:szCs w:val="32"/>
          <w:lang w:val="en-US" w:eastAsia="zh-CN"/>
        </w:rPr>
        <w:t xml:space="preserve">5.25</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3.65%</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增加0.27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增长5.42%</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人员工资调整，住房保障支出有所增加。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基本支出预算</w:t>
      </w:r>
      <w:r>
        <w:rPr>
          <w:rFonts w:ascii="宋体" w:eastAsia="宋体" w:hAnsi="宋体" w:asciiTheme="minorEastAsia" w:eastAsiaTheme="minorEastAsia" w:hAnsiTheme="minorEastAsia" w:cs="Arial" w:cstheme="minorEastAsia" w:hint="eastAsia"/>
          <w:sz w:val="32"/>
          <w:szCs w:val="32"/>
          <w:lang w:val="en-US" w:eastAsia="zh-CN"/>
        </w:rPr>
        <w:t xml:space="preserve">80.39</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55.83%</w:t>
      </w:r>
      <w:r>
        <w:rPr>
          <w:sz w:val="32"/>
          <w:u w:color="auto"/>
        </w:rPr>
        <w:t xml:space="preserve">,比上年</w:t>
      </w:r>
      <w:r>
        <w:rPr>
          <w:sz w:val="32"/>
          <w:u w:color="auto"/>
        </w:rPr>
        <w:t xml:space="preserve">增加5.22</w:t>
      </w:r>
      <w:r>
        <w:rPr>
          <w:sz w:val="32"/>
          <w:u w:color="auto"/>
        </w:rPr>
        <w:t xml:space="preserve">万元，</w:t>
      </w:r>
      <w:r>
        <w:rPr>
          <w:sz w:val="32"/>
          <w:u w:color="auto"/>
        </w:rPr>
        <w:t xml:space="preserve">增长6.94%</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工资福利支出</w:t>
      </w:r>
      <w:r>
        <w:rPr>
          <w:rFonts w:ascii="宋体" w:eastAsia="宋体" w:hAnsi="宋体" w:asciiTheme="minorEastAsia" w:eastAsiaTheme="minorEastAsia" w:hAnsiTheme="minorEastAsia" w:cs="Arial" w:cstheme="minorEastAsia" w:hint="eastAsia"/>
          <w:sz w:val="32"/>
          <w:szCs w:val="32"/>
          <w:lang w:val="en-US" w:eastAsia="zh-CN"/>
        </w:rPr>
        <w:t xml:space="preserve">70.32</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87.47%</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增长3.95</w:t>
      </w:r>
      <w:r>
        <w:rPr>
          <w:sz w:val="32"/>
          <w:u w:color="auto"/>
        </w:rPr>
        <w:t xml:space="preserve">万元，</w:t>
      </w:r>
      <w:r>
        <w:rPr>
          <w:sz w:val="32"/>
          <w:u w:color="auto"/>
        </w:rPr>
        <w:t xml:space="preserve">增长5.95%</w:t>
      </w:r>
      <w:r>
        <w:rPr>
          <w:sz w:val="32"/>
          <w:u w:color="auto"/>
        </w:rPr>
        <w:t xml:space="preserve">,主要原因是：人员工资调整，工资福利支出有所增加。</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8.65</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10.76%</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增长0.08</w:t>
      </w:r>
      <w:r>
        <w:rPr>
          <w:sz w:val="32"/>
          <w:u w:color="auto"/>
        </w:rPr>
        <w:t xml:space="preserve">万元，</w:t>
      </w:r>
      <w:r>
        <w:rPr>
          <w:sz w:val="32"/>
          <w:u w:color="auto"/>
        </w:rPr>
        <w:t xml:space="preserve">增长0.93%</w:t>
      </w:r>
      <w:r>
        <w:rPr>
          <w:sz w:val="32"/>
          <w:u w:color="auto"/>
        </w:rPr>
        <w:t xml:space="preserve">,主要原因是：人员工资调整，商品和服务支出有所增加。</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对个人和家庭的补助</w:t>
      </w:r>
      <w:r>
        <w:rPr>
          <w:rFonts w:ascii="宋体" w:eastAsia="宋体" w:hAnsi="宋体" w:asciiTheme="minorEastAsia" w:eastAsiaTheme="minorEastAsia" w:hAnsiTheme="minorEastAsia" w:cs="Arial" w:cstheme="minorEastAsia" w:hint="eastAsia"/>
          <w:sz w:val="32"/>
          <w:szCs w:val="32"/>
          <w:lang w:val="en-US" w:eastAsia="zh-CN"/>
        </w:rPr>
        <w:t xml:space="preserve">1.42</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1.77%</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增长1.19</w:t>
      </w:r>
      <w:r>
        <w:rPr>
          <w:sz w:val="32"/>
          <w:u w:color="auto"/>
        </w:rPr>
        <w:t xml:space="preserve">万元，</w:t>
      </w:r>
      <w:r>
        <w:rPr>
          <w:sz w:val="32"/>
          <w:u w:color="auto"/>
        </w:rPr>
        <w:t xml:space="preserve">增长517.39%</w:t>
      </w:r>
      <w:r>
        <w:rPr>
          <w:sz w:val="32"/>
          <w:u w:color="auto"/>
        </w:rPr>
        <w:t xml:space="preserve">,主要原因是：增加离退休生活补助预算。</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pPr>
      <w:r>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项目支出预算</w:t>
      </w:r>
      <w:r>
        <w:rPr>
          <w:rFonts w:ascii="宋体" w:eastAsia="宋体" w:hAnsi="宋体" w:asciiTheme="minorEastAsia" w:eastAsiaTheme="minorEastAsia" w:hAnsiTheme="minorEastAsia" w:cs="Arial" w:cstheme="minorEastAsia" w:hint="eastAsia"/>
          <w:sz w:val="32"/>
          <w:szCs w:val="32"/>
          <w:lang w:val="en-US" w:eastAsia="zh-CN"/>
        </w:rPr>
        <w:t xml:space="preserve">63.60</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44.17%</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增加43.60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增长218.00%</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工资福利支出</w:t>
      </w:r>
      <w:r>
        <w:rPr>
          <w:rFonts w:ascii="宋体" w:eastAsia="宋体" w:hAnsi="宋体" w:asciiTheme="minorEastAsia" w:eastAsiaTheme="minorEastAsia" w:hAnsiTheme="minorEastAsia" w:cs="Arial" w:cstheme="minorEastAsia" w:hint="eastAsia"/>
          <w:sz w:val="32"/>
          <w:szCs w:val="32"/>
          <w:lang w:val="en-US" w:eastAsia="zh-CN"/>
        </w:rPr>
        <w:t xml:space="preserve">16.00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25.16%</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增长16.00</w:t>
      </w:r>
      <w:r>
        <w:rPr>
          <w:color w:val="000000"/>
          <w:sz w:val="32"/>
          <w:u w:color="auto"/>
        </w:rPr>
        <w:t xml:space="preserve">万元，</w:t>
      </w:r>
      <w:r>
        <w:rPr>
          <w:color w:val="000000"/>
          <w:sz w:val="32"/>
          <w:u w:color="auto"/>
        </w:rPr>
        <w:t xml:space="preserve">增长100%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2023年9月贵南高铁开通，我办负责市四班领导乘坐高铁动车站的接驳相关工作，增加的聘用司机工资。</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47.60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74.84%</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增长27.60</w:t>
      </w:r>
      <w:r>
        <w:rPr>
          <w:color w:val="000000"/>
          <w:sz w:val="32"/>
          <w:u w:color="auto"/>
        </w:rPr>
        <w:t xml:space="preserve">万元，</w:t>
      </w:r>
      <w:r>
        <w:rPr>
          <w:color w:val="000000"/>
          <w:sz w:val="32"/>
          <w:u w:color="auto"/>
        </w:rPr>
        <w:t xml:space="preserve">增长138.00%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2023年9月贵南高铁开通，我办负责市四班领导乘坐高铁动车站的接驳相关工作。增加的接驳动车费用为:租赁车辆费用、运营费用等。</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四、财政拨款收支总体情况说明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5080000" cy="3810000"/>
            <wp:effectExtent l="4445" t="4445" r="5715" b="10795"/>
            <wp:docPr id="1083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财政拨款收入我部门财政拨款总收入</w:t>
      </w:r>
      <w:r>
        <w:rPr>
          <w:rFonts w:ascii="宋体" w:eastAsia="宋体" w:hAnsi="宋体" w:asciiTheme="minorEastAsia" w:eastAsiaTheme="minorEastAsia" w:hAnsiTheme="minorEastAsia" w:cs="Arial" w:cstheme="minorEastAsia" w:hint="eastAsia"/>
          <w:sz w:val="32"/>
          <w:szCs w:val="32"/>
          <w:lang w:val="en-US" w:eastAsia="zh-CN" w:bidi="en-US"/>
        </w:rPr>
        <w:t xml:space="preserve">143.99</w:t>
      </w:r>
      <w:r>
        <w:rPr>
          <w:rFonts w:ascii="宋体" w:eastAsia="宋体" w:hAnsi="宋体" w:asciiTheme="minorEastAsia" w:eastAsiaTheme="minorEastAsia" w:hAnsiTheme="minorEastAsia" w:cs="Arial" w:cstheme="minorEastAsia" w:hint="eastAsia"/>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bidi="en-US"/>
        </w:rPr>
        <w:t xml:space="preserve">143.99</w:t>
      </w:r>
      <w:r>
        <w:rPr>
          <w:rFonts w:ascii="宋体" w:eastAsia="宋体" w:hAnsi="宋体" w:asciiTheme="minorEastAsia" w:eastAsiaTheme="minorEastAsia" w:hAnsiTheme="minorEastAsia" w:cs="Arial" w:cstheme="minorEastAsia" w:hint="eastAsia"/>
          <w:sz w:val="32"/>
          <w:szCs w:val="32"/>
        </w:rPr>
        <w:t xml:space="preserve">万元。财政拨款总收入较2023年度预算数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95.17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增加48.82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增长51.30%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2023年9月贵南高铁开通，我办负责市四班领导乘坐高铁动车站的接驳相关工作。增加的接驳动车费用为:租赁车辆费用、聘用司机费用，运营费用等。</w:t>
      </w:r>
      <w:r>
        <w:rPr>
          <w:rFonts w:ascii="宋体" w:eastAsia="宋体" w:hAnsi="宋体" w:asciiTheme="minorEastAsia" w:eastAsiaTheme="minorEastAsia" w:hAnsiTheme="minorEastAsia" w:cs="Arial" w:cstheme="minorEastAsia" w:hint="eastAsia"/>
          <w:sz w:val="32"/>
          <w:szCs w:val="32"/>
        </w:rPr>
        <w:t xml:space="preserve">。财政拨款总支出较2023年度预算数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95.17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增加48.82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增长51.30%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2023年9月贵南高铁开通，我办负责市四班领导乘坐高铁动车站的接驳相关工作。增加的接驳动车费用为:租赁车辆费用、聘用司机费用，运营费用等。</w:t>
      </w:r>
      <w:r>
        <w:rPr>
          <w:rFonts w:ascii="宋体" w:eastAsia="宋体" w:hAnsi="宋体" w:asciiTheme="minorEastAsia" w:eastAsiaTheme="minorEastAsia" w:hAnsiTheme="minorEastAsia" w:cs="Arial" w:cstheme="minorEastAsia" w:hint="eastAsia"/>
          <w:sz w:val="32"/>
          <w:szCs w:val="32"/>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五、一般公共预算支出情况说明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drawing>
          <wp:inline distT="0" distB="0" distL="114300" distR="114300">
            <wp:extent cx="5080000" cy="3810000"/>
            <wp:effectExtent l="4445" t="4445" r="20955" b="14605"/>
            <wp:docPr id="1083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lang w:val="en-US" w:eastAsia="zh-CN"/>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一般公共预算支出共</w:t>
      </w:r>
      <w:r>
        <w:rPr>
          <w:rFonts w:ascii="宋体" w:eastAsia="宋体" w:hAnsi="宋体" w:asciiTheme="minorEastAsia" w:eastAsiaTheme="minorEastAsia" w:hAnsiTheme="minorEastAsia" w:cs="Arial" w:cstheme="minorEastAsia" w:hint="eastAsia"/>
          <w:sz w:val="32"/>
          <w:szCs w:val="32"/>
          <w:lang w:val="en-US" w:eastAsia="zh-CN"/>
        </w:rPr>
        <w:t xml:space="preserve">143.99</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95.17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增加48.82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增长51.30%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2023年9月贵南高铁开通，我办负责市四班领导乘坐高铁动车站的接驳相关工作。增加的接驳动车费用为:租赁车辆费用、聘用司机费用，运营费用等。</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一般公共服务支出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123.17</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85.54%</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74.92</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增加48.25</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增长64.40%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由于是单位人员工资晋级晋升、社保基数调整后相对应的公共服务支出、教育支出、社保、医疗、住房保障支出都有所增加。</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住房保障支出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5.25</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3.65%</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4.98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增加0.27</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增长5.42%</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人员工资调整，住房保障支出有所增加。</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卫生健康支出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4.91</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3.41%</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4.68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增加0.23</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增长4.91%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人员工资调整，卫生健康支出有所增加。</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教育支出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0.66</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0.46%</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0.62</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增加0.04</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增长6.45%</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社保基数调整后相对应的社会保障和就业支出相对增加了。</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社会保障和就业支出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10.01</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6.95%</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9.97</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增加0.04</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增长0.40%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社保基数调整后相对应的社会保障和就业支出相对增加了。</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六、一般公共预算基本支出情况说明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20955" b="14605"/>
            <wp:docPr id="1083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w:t>
      </w:r>
      <w:r>
        <w:rPr>
          <w:sz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一般公共预算基本支出共</w:t>
      </w:r>
      <w:r>
        <w:rPr>
          <w:rFonts w:ascii="宋体" w:eastAsia="宋体" w:hAnsi="宋体" w:asciiTheme="minorEastAsia" w:eastAsiaTheme="minorEastAsia" w:hAnsiTheme="minorEastAsia" w:cs="Arial" w:cstheme="minorEastAsia" w:hint="eastAsia"/>
          <w:sz w:val="32"/>
          <w:szCs w:val="32"/>
          <w:lang w:val="en-US" w:eastAsia="zh-CN"/>
        </w:rPr>
        <w:t xml:space="preserve">80.39</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75.17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w:t>
      </w:r>
      <w:r>
        <w:rPr>
          <w:sz w:val="32"/>
          <w:u w:color="auto"/>
        </w:rPr>
        <w:t xml:space="preserve">增加5.22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增长6.94%</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基本支出的增长，由于是单位人员工资晋级晋升、社保基数调整后相对应的公共服务支出、教育支出、社保、医疗、住房保障支出都有所增加。</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工资福利支出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70.32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87.47%</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66.37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增加3.95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增长5.95%</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人员工资调整情况。</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商品和服务支出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8.65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10.76%</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8.57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增加0.08</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增长0.93%</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人员工资调整情况，商品和服务支出有所增加。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对个人和家庭的补助</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1.42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1.77%</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0.23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增加1.19</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增长517.39%</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休人员退休费调整，对个人和家庭的补助有所增加。</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七、一般公共预算</w:t>
      </w:r>
      <w:r>
        <w:rPr>
          <w:rFonts w:ascii="宋体" w:eastAsia="宋体" w:hAnsi="宋体" w:asciiTheme="minorEastAsia" w:eastAsiaTheme="minorEastAsia" w:hAnsiTheme="minorEastAsia" w:cs="Arial" w:cstheme="minorEastAsia" w:hint="eastAsia"/>
          <w:b/>
          <w:bCs/>
          <w:sz w:val="32"/>
          <w:szCs w:val="32"/>
          <w:lang w:val="zh-CN" w:eastAsia="zh-CN"/>
        </w:rPr>
        <w:t xml:space="preserve">“三</w:t>
      </w:r>
      <w:r>
        <w:rPr>
          <w:rFonts w:ascii="宋体" w:eastAsia="宋体" w:hAnsi="宋体" w:asciiTheme="minorEastAsia" w:eastAsiaTheme="minorEastAsia" w:hAnsiTheme="minorEastAsia" w:cs="Arial" w:cstheme="minorEastAsia" w:hint="eastAsia"/>
          <w:b/>
          <w:bCs/>
          <w:sz w:val="32"/>
          <w:szCs w:val="32"/>
          <w:lang w:val="en-US" w:eastAsia="zh-CN"/>
        </w:rPr>
        <w:t xml:space="preserve">公”经费支出情况说明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5715" b="10795"/>
            <wp:docPr id="1083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bookmarkStart w:id="14" w:name="bookmark90"/>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sz w:val="32"/>
          <w:u w:color="auto"/>
        </w:rPr>
        <w:t xml:space="preserve">年部门预算共安排</w:t>
      </w:r>
      <w:r>
        <w:rPr>
          <w:rFonts w:ascii="宋体" w:eastAsia="宋体" w:hAnsi="宋体" w:asciiTheme="minorEastAsia" w:eastAsiaTheme="minorEastAsia" w:hAnsiTheme="minorEastAsia" w:cs="Arial" w:cstheme="minorEastAsia" w:hint="eastAsia"/>
          <w:b w:val="0"/>
          <w:bCs w:val="0"/>
          <w:sz w:val="32"/>
          <w:szCs w:val="32"/>
          <w:lang w:val="zh-CN" w:eastAsia="zh-CN"/>
        </w:rPr>
        <w:t xml:space="preserve">“三公”</w:t>
      </w:r>
      <w:r>
        <w:rPr>
          <w:rFonts w:ascii="宋体" w:eastAsia="宋体" w:hAnsi="宋体" w:asciiTheme="minorEastAsia" w:eastAsiaTheme="minorEastAsia" w:hAnsiTheme="minorEastAsia" w:cs="Arial" w:cstheme="minorEastAsia" w:hint="eastAsia"/>
          <w:b w:val="0"/>
          <w:bCs w:val="0"/>
          <w:sz w:val="32"/>
          <w:szCs w:val="32"/>
          <w:lang w:eastAsia="zh-CN"/>
        </w:rPr>
        <w:t xml:space="preserve">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6.50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万元（全口径），其中：因公出国（境）经费支出预算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万元，公务接待费支出预算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6.50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万元，公务用车购置及运行费支出预算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万元,公务用车运行维护费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年一般公共预算安排的“三公”经费支出预算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6.50</w:t>
      </w:r>
      <w:r>
        <w:rPr>
          <w:rFonts w:ascii="宋体" w:eastAsia="宋体" w:hAnsi="宋体" w:asciiTheme="minorEastAsia" w:eastAsiaTheme="minorEastAsia" w:hAnsiTheme="minorEastAsia" w:cs="Arial" w:cstheme="minorEastAsia" w:hint="eastAsia"/>
          <w:b w:val="0"/>
          <w:bCs w:val="0"/>
          <w:sz w:val="32"/>
          <w:szCs w:val="32"/>
        </w:rPr>
        <w:t xml:space="preserve">万元，同口径较2023年度预算数</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6.00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增加0.50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增长8.33%</w:t>
      </w:r>
      <w:r>
        <w:rPr>
          <w:rFonts w:ascii="宋体" w:eastAsia="宋体" w:hAnsi="宋体" w:asciiTheme="minorEastAsia" w:eastAsiaTheme="minorEastAsia" w:hAnsiTheme="minorEastAsia" w:cs="Arial" w:cstheme="minorEastAsia" w:hint="eastAsia"/>
          <w:b w:val="0"/>
          <w:bCs w:val="0"/>
          <w:sz w:val="32"/>
          <w:szCs w:val="32"/>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1.因公出国（境）费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我部门无出国经费。</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2.公务接待费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6.50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6.00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增加0.50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增长8.33%</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我部门公务接待人次有所增加。</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3.公务用车购置及运行费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公务用车购置费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我部门无公务车。</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公务用车运行维护费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办事处没有公务车。</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八</w:t>
      </w:r>
      <w:bookmarkEnd w:id="14"/>
      <w:r>
        <w:rPr>
          <w:rFonts w:ascii="宋体" w:eastAsia="宋体" w:hAnsi="宋体" w:asciiTheme="minorEastAsia" w:eastAsiaTheme="minorEastAsia" w:hAnsiTheme="minorEastAsia" w:cs="Arial" w:cstheme="minorEastAsia" w:hint="eastAsia"/>
          <w:b/>
          <w:bCs/>
          <w:sz w:val="32"/>
          <w:szCs w:val="32"/>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年政府性基金预算支出共</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本单位无政府性基金预算。</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5" w:name="bookmark91"/>
      <w:r>
        <w:rPr>
          <w:rFonts w:ascii="宋体" w:eastAsia="宋体" w:hAnsi="宋体" w:asciiTheme="minorEastAsia" w:eastAsiaTheme="minorEastAsia" w:hAnsiTheme="minorEastAsia" w:cs="Arial" w:cstheme="minorEastAsia" w:hint="eastAsia"/>
          <w:b/>
          <w:bCs/>
          <w:sz w:val="32"/>
          <w:szCs w:val="32"/>
          <w:lang w:val="en-US" w:eastAsia="zh-CN"/>
        </w:rPr>
        <w:t xml:space="preserve">九</w:t>
      </w:r>
      <w:bookmarkEnd w:id="15"/>
      <w:r>
        <w:rPr>
          <w:rFonts w:ascii="宋体" w:eastAsia="宋体" w:hAnsi="宋体" w:asciiTheme="minorEastAsia" w:eastAsiaTheme="minorEastAsia" w:hAnsiTheme="minorEastAsia" w:cs="Arial" w:cstheme="minorEastAsia" w:hint="eastAsia"/>
          <w:b/>
          <w:bCs/>
          <w:sz w:val="32"/>
          <w:szCs w:val="32"/>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年国有资本经营预算支出共</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我部门2024年无国有资本经营预算。</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rPr>
        <w:t xml:space="preserve">十、其他重要事项</w:t>
      </w:r>
      <w:r>
        <w:rPr>
          <w:rFonts w:ascii="宋体" w:eastAsia="宋体" w:hAnsi="宋体" w:asciiTheme="minorEastAsia" w:eastAsiaTheme="minorEastAsia" w:hAnsiTheme="minorEastAsia" w:cs="Arial" w:cstheme="minorEastAsia" w:hint="eastAsia"/>
          <w:b/>
          <w:bCs/>
          <w:sz w:val="32"/>
          <w:szCs w:val="32"/>
          <w:lang w:val="en-US" w:eastAsia="zh-CN"/>
        </w:rPr>
        <w:t xml:space="preserve">情况</w:t>
      </w:r>
      <w:r>
        <w:rPr>
          <w:rFonts w:ascii="宋体" w:eastAsia="宋体" w:hAnsi="宋体" w:asciiTheme="minorEastAsia" w:eastAsiaTheme="minorEastAsia" w:hAnsiTheme="minorEastAsia" w:cs="Arial" w:cstheme="minorEastAsia" w:hint="eastAsia"/>
          <w:b/>
          <w:bCs/>
          <w:sz w:val="32"/>
          <w:szCs w:val="32"/>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年本部门机关运行经费预算</w:t>
      </w:r>
      <w:r>
        <w:rPr>
          <w:rFonts w:ascii="宋体" w:eastAsia="宋体" w:hAnsi="宋体" w:asciiTheme="minorEastAsia" w:eastAsiaTheme="minorEastAsia" w:hAnsiTheme="minorEastAsia" w:cs="Arial" w:cstheme="minorEastAsia" w:hint="eastAsia"/>
          <w:sz w:val="32"/>
          <w:szCs w:val="32"/>
          <w:lang w:val="en-US" w:eastAsia="zh-CN"/>
        </w:rPr>
        <w:t xml:space="preserve">8.65</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8.57</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增加0.08</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增长0.93%</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人员工资调整。</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 xml:space="preserve">我部门2024年政府采购预算总金额</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万元。其中：货物类采购</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万元、工程类采购</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万元、服务类采购</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主要用于：本部门无政府采购预算。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截至2023年12月31日，本部门共有车辆</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辆，其中，应急机要通信用车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辆、一般执法执勤用车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辆、特种专业技术用车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辆、其他用车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辆，单位价值200万元以上大型设备</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1.我部门2024年所有项目支出全面实施绩效目标管理，涉及项目</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个，预算资金</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highlight w:val="none"/>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p>
    <w:p>
      <w:pPr>
        <w:pStyle w:val="Bodytext|1"/>
        <w:spacing w:line="624" w:lineRule="exact"/>
        <w:ind w:firstLine="60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4" w:lineRule="exact"/>
        <w:jc w:val="left"/>
        <w:rPr>
          <w:rFonts w:ascii="宋体" w:eastAsia="宋体" w:hAnsi="宋体" w:asciiTheme="minorEastAsia" w:eastAsiaTheme="minorEastAsia" w:hAnsiTheme="minorEastAsia" w:cs="Arial" w:cstheme="minorEastAsia" w:hint="eastAsia"/>
          <w:sz w:val="32"/>
          <w:szCs w:val="32"/>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asciiTheme="minorEastAsia" w:eastAsiaTheme="minorEastAsia" w:hAnsiTheme="minorEastAsia" w:cs="Arial" w:cstheme="minorEastAsia" w:hint="eastAsia"/>
          <w:b/>
          <w:bCs/>
          <w:sz w:val="32"/>
          <w:szCs w:val="32"/>
        </w:rPr>
      </w:pPr>
      <w:bookmarkEnd w:id="10"/>
      <w:bookmarkEnd w:id="11"/>
      <w:bookmarkEnd w:id="12"/>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三</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河池市人民政府驻南宁办事处</w:t>
      </w:r>
      <w:r>
        <w:rPr>
          <w:rFonts w:ascii="黑体" w:eastAsia="黑体" w:hAnsi="黑体" w:cs="黑体"/>
          <w:sz w:val="32"/>
          <w:u w:color="auto"/>
        </w:rPr>
        <w:t xml:space="preserve">2024</w:t>
      </w:r>
      <w:r>
        <w:rPr>
          <w:rFonts w:ascii="黑体" w:eastAsia="黑体" w:hAnsi="黑体" w:cs="黑体"/>
          <w:sz w:val="32"/>
          <w:u w:color="auto"/>
        </w:rPr>
        <w:t xml:space="preserve">年</w:t>
      </w:r>
      <w:r>
        <w:rPr>
          <w:rFonts w:ascii="黑体" w:eastAsia="黑体" w:hAnsi="黑体" w:cs="黑体" w:hint="eastAsia"/>
          <w:b w:val="0"/>
          <w:bCs w:val="0"/>
          <w:sz w:val="32"/>
          <w:szCs w:val="32"/>
        </w:rPr>
        <w:t xml:space="preserve">部门预算表</w:t>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16" w:name="bookmark31"/>
      <w:bookmarkStart w:id="17" w:name="bookmark30"/>
      <w:bookmarkStart w:id="18" w:name="bookmark29"/>
      <w:r>
        <w:rPr>
          <w:rFonts w:ascii="宋体" w:eastAsia="宋体" w:hAnsi="宋体" w:asciiTheme="minorEastAsia" w:eastAsiaTheme="minorEastAsia" w:hAnsiTheme="minorEastAsia" w:cs="Arial" w:cstheme="minorEastAsia" w:hint="eastAsia"/>
          <w:sz w:val="32"/>
          <w:szCs w:val="32"/>
        </w:rPr>
        <w:t xml:space="preserve">收支总体情况表</w:t>
      </w:r>
      <w:bookmarkEnd w:id="16"/>
      <w:bookmarkEnd w:id="17"/>
      <w:bookmarkEnd w:id="18"/>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9"/>
        <w:gridCol w:w="4064"/>
        <w:gridCol w:w="3828"/>
        <w:gridCol w:w="3859"/>
      </w:tblGrid>
      <w:tr>
        <w:tblPrEx>
          <w:tblW w:w="5000" w:type="pct"/>
          <w:tblInd w:w="0" w:type="dxa"/>
          <w:tblLayout w:type="fixed"/>
          <w:tblCellMar>
            <w:top w:w="0" w:type="dxa"/>
            <w:left w:w="10" w:type="dxa"/>
            <w:bottom w:w="0" w:type="dxa"/>
            <w:right w:w="10" w:type="dxa"/>
          </w:tblCellMar>
        </w:tblPrEx>
        <w:trPr>
          <w:cantSplit/>
          <w:trHeight w:hRule="exact" w:val="443"/>
        </w:trPr>
        <w:tc>
          <w:tcPr>
            <w:tcW w:w="11485"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河池市人民政府驻南宁办事处</w:t>
            </w:r>
          </w:p>
        </w:tc>
        <w:tc>
          <w:tcPr>
            <w:tcW w:w="3854"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表01</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76"/>
        </w:trPr>
        <w:tc>
          <w:tcPr>
            <w:tcW w:w="7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收入</w:t>
            </w:r>
          </w:p>
        </w:tc>
        <w:tc>
          <w:tcPr>
            <w:tcW w:w="7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123.17</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0.66</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10.01</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4.91</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5.25</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r>
    </w:tbl>
    <w:p>
      <w:pPr>
        <w:pStyle w:val="Tablecaption|1"/>
        <w:ind w:left="101"/>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注：报表金额单位转换时可能存在四舍五入尾数误差。</w:t>
      </w: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 w:val="center" w:pos="7730"/>
          <w:tab w:val="left" w:pos="14088"/>
        </w:tabs>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收入总体情况表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84"/>
        </w:trPr>
        <w:tc>
          <w:tcPr>
            <w:tcW w:w="13481" w:type="dxa"/>
            <w:gridSpan w:val="13"/>
            <w:tcBorders>
              <w:top w:val="nil"/>
              <w:left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rPr>
            </w:pPr>
          </w:p>
          <w:p>
            <w:pPr>
              <w:pStyle w:val="Tablecaption|1"/>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河池市人民政府驻南宁办事处</w:t>
            </w:r>
          </w:p>
        </w:tc>
        <w:tc>
          <w:tcPr>
            <w:tcW w:w="2076" w:type="dxa"/>
            <w:gridSpan w:val="3"/>
            <w:tcBorders>
              <w:top w:val="nil"/>
              <w:left w:val="nil"/>
              <w:right w:val="nil"/>
            </w:tcBorders>
          </w:tcPr>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表02</w:t>
            </w:r>
          </w:p>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279"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990" w:type="dxa"/>
            <w:vMerge w:val="restart"/>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合</w:t>
            </w:r>
            <w:r>
              <w:rPr>
                <w:rFonts w:ascii="宋体" w:eastAsia="宋体" w:hAnsi="宋体" w:asciiTheme="minorEastAsia" w:eastAsiaTheme="minorEastAsia" w:hAnsiTheme="minorEastAsia" w:cs="Arial" w:cstheme="minorEastAsia" w:hint="eastAsia"/>
                <w:sz w:val="18"/>
                <w:szCs w:val="18"/>
              </w:rPr>
              <w:t xml:space="preserve">计</w:t>
            </w:r>
          </w:p>
        </w:tc>
        <w:tc>
          <w:tcPr>
            <w:tcW w:w="5843" w:type="dxa"/>
            <w:gridSpan w:val="6"/>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本年收入</w:t>
            </w:r>
          </w:p>
        </w:tc>
        <w:tc>
          <w:tcPr>
            <w:tcW w:w="5809" w:type="dxa"/>
            <w:gridSpan w:val="7"/>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上年结转结余</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Merge/>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26"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90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968"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990"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1078"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7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c>
          <w:tcPr>
            <w:tcW w:w="919"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011"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85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1094" w:type="dxa"/>
            <w:gridSpan w:val="2"/>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937"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right="2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89" w:type="dxa"/>
            <w:vAlign w:val="center"/>
          </w:tcPr>
          <w:p>
            <w:pPr>
              <w:pStyle w:val="Other|1"/>
              <w:spacing w:line="240" w:lineRule="auto"/>
              <w:ind w:firstLine="14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92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90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96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990"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07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c>
          <w:tcPr>
            <w:tcW w:w="972"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7</w:t>
            </w:r>
          </w:p>
        </w:tc>
        <w:tc>
          <w:tcPr>
            <w:tcW w:w="919"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8</w:t>
            </w:r>
          </w:p>
        </w:tc>
        <w:tc>
          <w:tcPr>
            <w:tcW w:w="1011"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9</w:t>
            </w:r>
          </w:p>
        </w:tc>
        <w:tc>
          <w:tcPr>
            <w:tcW w:w="859" w:type="dxa"/>
            <w:vAlign w:val="center"/>
          </w:tcPr>
          <w:p>
            <w:pPr>
              <w:pStyle w:val="Other|1"/>
              <w:spacing w:line="240" w:lineRule="auto"/>
              <w:ind w:right="36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10</w:t>
            </w:r>
          </w:p>
        </w:tc>
        <w:tc>
          <w:tcPr>
            <w:tcW w:w="1094" w:type="dxa"/>
            <w:gridSpan w:val="2"/>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11</w:t>
            </w:r>
          </w:p>
        </w:tc>
        <w:tc>
          <w:tcPr>
            <w:tcW w:w="937" w:type="dxa"/>
            <w:vAlign w:val="center"/>
          </w:tcPr>
          <w:p>
            <w:pPr>
              <w:pStyle w:val="Other|1"/>
              <w:spacing w:line="240" w:lineRule="auto"/>
              <w:ind w:right="3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12</w:t>
            </w:r>
          </w:p>
        </w:tc>
        <w:tc>
          <w:tcPr>
            <w:tcW w:w="989" w:type="dxa"/>
            <w:vAlign w:val="center"/>
          </w:tcPr>
          <w:p>
            <w:pPr>
              <w:pStyle w:val="Other|1"/>
              <w:spacing w:line="240" w:lineRule="auto"/>
              <w:ind w:right="42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103002</w:t>
            </w:r>
          </w:p>
        </w:tc>
        <w:tc>
          <w:tcPr>
            <w:tcW w:w="1279" w:type="dxa"/>
          </w:tcPr>
          <w:p>
            <w:pPr>
              <w:pStyle w:val="Other|1"/>
              <w:spacing w:line="326" w:lineRule="exact"/>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河池市人民政府驻南宁办事处</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143.99</w:t>
            </w:r>
          </w:p>
        </w:tc>
        <w:tc>
          <w:tcPr>
            <w:tcW w:w="926"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143.99</w:t>
            </w:r>
          </w:p>
        </w:tc>
        <w:tc>
          <w:tcPr>
            <w:tcW w:w="909"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143.99</w:t>
            </w:r>
          </w:p>
        </w:tc>
        <w:tc>
          <w:tcPr>
            <w:tcW w:w="968"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1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11"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859"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94" w:type="dxa"/>
            <w:gridSpan w:val="2"/>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37"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8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spacing w:line="1" w:lineRule="exact"/>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tabs>
          <w:tab w:val="center" w:pos="7730"/>
          <w:tab w:val="left" w:pos="14602"/>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19" w:name="bookmark41"/>
      <w:bookmarkStart w:id="20" w:name="bookmark42"/>
      <w:bookmarkStart w:id="21" w:name="bookmark43"/>
      <w:r>
        <w:rPr>
          <w:rFonts w:ascii="宋体" w:eastAsia="宋体" w:hAnsi="宋体" w:asciiTheme="minorEastAsia" w:eastAsiaTheme="minorEastAsia" w:hAnsiTheme="minorEastAsia" w:cs="Arial" w:cstheme="minorEastAsia" w:hint="eastAsia"/>
          <w:sz w:val="32"/>
          <w:szCs w:val="32"/>
        </w:rPr>
        <w:t xml:space="preserve">支出总体情况表</w:t>
      </w:r>
      <w:bookmarkEnd w:id="19"/>
      <w:bookmarkEnd w:id="20"/>
      <w:bookmarkEnd w:id="21"/>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6"/>
        <w:gridCol w:w="1937"/>
        <w:gridCol w:w="2393"/>
        <w:gridCol w:w="2283"/>
        <w:gridCol w:w="2302"/>
        <w:gridCol w:w="2225"/>
        <w:gridCol w:w="2375"/>
      </w:tblGrid>
      <w:tr>
        <w:tblPrEx>
          <w:tblW w:w="5000" w:type="pct"/>
          <w:tblInd w:w="0" w:type="dxa"/>
          <w:tblLayout w:type="fixed"/>
          <w:tblCellMar>
            <w:top w:w="0" w:type="dxa"/>
            <w:left w:w="10" w:type="dxa"/>
            <w:bottom w:w="0" w:type="dxa"/>
            <w:right w:w="10" w:type="dxa"/>
          </w:tblCellMar>
        </w:tblPrEx>
        <w:trPr>
          <w:cantSplit/>
          <w:trHeight w:hRule="exact" w:val="465"/>
        </w:trPr>
        <w:tc>
          <w:tcPr>
            <w:tcW w:w="12968" w:type="dxa"/>
            <w:gridSpan w:val="6"/>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河池市人民政府驻南宁办事处</w:t>
            </w:r>
          </w:p>
        </w:tc>
        <w:tc>
          <w:tcPr>
            <w:tcW w:w="2371" w:type="dxa"/>
            <w:shd w:val="clear" w:color="auto" w:fill="FFFFFF"/>
          </w:tcPr>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表03</w:t>
            </w:r>
          </w:p>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62"/>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143.99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80.39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63.60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103002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143.99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80.39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63.60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123.17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59.57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63.60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2050803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6.29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0.22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行政单位医疗</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bl>
    <w:p>
      <w:pPr>
        <w:pStyle w:val="Tablecaption|1"/>
        <w:keepNext w:val="0"/>
        <w:keepLines w:val="0"/>
        <w:pageBreakBefore w:val="0"/>
        <w:widowControl w:val="0"/>
        <w:kinsoku/>
        <w:wordWrap/>
        <w:overflowPunct/>
        <w:topLinePunct w:val="0"/>
        <w:autoSpaceDE/>
        <w:autoSpaceDN/>
        <w:bidi w:val="0"/>
        <w:adjustRightInd/>
        <w:snapToGrid/>
        <w:ind w:left="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r>
        <w:br w:type="page"/>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财政拨款收支总体情况</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8"/>
        <w:gridCol w:w="4065"/>
        <w:gridCol w:w="3828"/>
        <w:gridCol w:w="3860"/>
      </w:tblGrid>
      <w:tr>
        <w:tblPrEx>
          <w:tblW w:w="5000" w:type="pct"/>
          <w:tblInd w:w="0" w:type="dxa"/>
          <w:tblLayout w:type="fixed"/>
          <w:tblCellMar>
            <w:top w:w="0" w:type="dxa"/>
            <w:left w:w="10" w:type="dxa"/>
            <w:bottom w:w="0" w:type="dxa"/>
            <w:right w:w="10" w:type="dxa"/>
          </w:tblCellMar>
        </w:tblPrEx>
        <w:trPr>
          <w:cantSplit/>
          <w:trHeight w:hRule="exact" w:val="441"/>
        </w:trPr>
        <w:tc>
          <w:tcPr>
            <w:tcW w:w="11501"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河池市人民政府驻南宁办事处</w:t>
            </w:r>
          </w:p>
        </w:tc>
        <w:tc>
          <w:tcPr>
            <w:tcW w:w="3860"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表04</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51"/>
        </w:trPr>
        <w:tc>
          <w:tcPr>
            <w:tcW w:w="7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w:t>
            </w:r>
            <w:r>
              <w:rPr>
                <w:rFonts w:ascii="宋体" w:eastAsia="宋体" w:hAnsi="宋体" w:asciiTheme="minorEastAsia" w:eastAsiaTheme="minorEastAsia" w:hAnsiTheme="minorEastAsia" w:cs="Arial" w:cstheme="minorEastAsia" w:hint="eastAsia"/>
                <w:sz w:val="18"/>
                <w:szCs w:val="18"/>
              </w:rPr>
              <w:t xml:space="preserve">入</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w:t>
            </w:r>
            <w:r>
              <w:rPr>
                <w:rFonts w:ascii="宋体" w:eastAsia="宋体" w:hAnsi="宋体" w:asciiTheme="minorEastAsia" w:eastAsiaTheme="minorEastAsia" w:hAnsiTheme="minorEastAsia" w:cs="Arial" w:cstheme="minorEastAsia" w:hint="eastAsia"/>
                <w:sz w:val="18"/>
                <w:szCs w:val="18"/>
              </w:rPr>
              <w:t xml:space="preserve">出</w:t>
            </w:r>
          </w:p>
        </w:tc>
      </w:tr>
      <w:tr>
        <w:tblPrEx>
          <w:tblW w:w="5000" w:type="pct"/>
          <w:tblInd w:w="0" w:type="dxa"/>
          <w:tblLayout w:type="fixed"/>
          <w:tblCellMar>
            <w:top w:w="0" w:type="dxa"/>
            <w:left w:w="10" w:type="dxa"/>
            <w:bottom w:w="0" w:type="dxa"/>
            <w:right w:w="10" w:type="dxa"/>
          </w:tblCellMar>
        </w:tblPrEx>
        <w:trPr>
          <w:cantSplit/>
          <w:trHeight w:hRule="exact" w:val="428"/>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123.17</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0.66</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10.01</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4.91</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5.25</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143.99</w:t>
            </w:r>
          </w:p>
        </w:tc>
      </w:tr>
    </w:tbl>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注：表中功能分类科目，根据各部门实际预算编制情况编列。</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报表金额单位转换时可能存在四舍五入尾数误差。</w:t>
      </w:r>
    </w:p>
    <w:p>
      <w:pPr>
        <w:jc w:val="left"/>
        <w:rPr>
          <w:rFonts w:ascii="宋体" w:eastAsia="宋体" w:hAnsi="宋体" w:asciiTheme="minorEastAsia" w:eastAsiaTheme="minorEastAsia" w:hAnsiTheme="minorEastAsia" w:cs="Arial" w:cstheme="minorEastAsia" w:hint="eastAsia"/>
          <w:sz w:val="18"/>
          <w:szCs w:val="18"/>
          <w:lang w:eastAsia="zh-CN"/>
        </w:rPr>
      </w:pPr>
      <w:r>
        <w:br w:type="page"/>
      </w:r>
    </w:p>
    <w:p>
      <w:pPr>
        <w:jc w:val="center"/>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一般公共预算支出情况表</w:t>
      </w:r>
    </w:p>
    <w:p>
      <w:pPr>
        <w:pStyle w:val="Heading#2|1"/>
        <w:keepNext/>
        <w:keepLines/>
        <w:pageBreakBefore w:val="0"/>
        <w:widowControl w:val="0"/>
        <w:tabs>
          <w:tab w:val="center" w:pos="7730"/>
          <w:tab w:val="left" w:pos="13278"/>
        </w:tabs>
        <w:kinsoku/>
        <w:wordWrap/>
        <w:overflowPunct/>
        <w:topLinePunct w:val="0"/>
        <w:autoSpaceDE/>
        <w:autoSpaceDN/>
        <w:bidi w:val="0"/>
        <w:adjustRightInd/>
        <w:snapToGrid/>
        <w:spacing w:after="0" w:line="180" w:lineRule="atLeast"/>
        <w:ind w:firstLine="25600" w:firstLineChars="8000"/>
        <w:jc w:val="righ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ab/>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836"/>
        <w:gridCol w:w="1529"/>
        <w:gridCol w:w="1489"/>
        <w:gridCol w:w="1704"/>
        <w:gridCol w:w="1896"/>
        <w:gridCol w:w="1876"/>
        <w:gridCol w:w="1744"/>
        <w:gridCol w:w="72"/>
        <w:gridCol w:w="1664"/>
        <w:gridCol w:w="174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6"/>
        </w:trPr>
        <w:tc>
          <w:tcPr>
            <w:tcW w:w="12112" w:type="dxa"/>
            <w:gridSpan w:val="7"/>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河池市人民政府驻南宁办事处</w:t>
            </w:r>
          </w:p>
        </w:tc>
        <w:tc>
          <w:tcPr>
            <w:tcW w:w="3537" w:type="dxa"/>
            <w:gridSpan w:val="3"/>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表05</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63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615" w:type="dxa"/>
            <w:vMerge w:val="restart"/>
          </w:tcPr>
          <w:p>
            <w:pPr>
              <w:pStyle w:val="Other|1"/>
              <w:spacing w:after="120"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1713"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5515" w:type="dxa"/>
            <w:gridSpan w:val="4"/>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168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1779"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1790" w:type="dxa"/>
            <w:gridSpan w:val="2"/>
            <w:vAlign w:val="center"/>
          </w:tcPr>
          <w:p>
            <w:pPr>
              <w:pStyle w:val="Other|1"/>
              <w:spacing w:line="240" w:lineRule="auto"/>
              <w:ind w:firstLine="44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c>
          <w:tcPr>
            <w:tcW w:w="168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79"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790"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686" w:type="dxa"/>
            <w:vAlign w:val="center"/>
          </w:tcPr>
          <w:p>
            <w:pPr>
              <w:pStyle w:val="Other|1"/>
              <w:spacing w:line="240" w:lineRule="auto"/>
              <w:ind w:firstLine="66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779" w:type="dxa"/>
            <w:vAlign w:val="center"/>
          </w:tcPr>
          <w:p>
            <w:pPr>
              <w:pStyle w:val="Other|1"/>
              <w:spacing w:line="240" w:lineRule="auto"/>
              <w:ind w:right="70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103002</w:t>
            </w: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143.99</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80.39</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71.74</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8.65</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63.60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2010301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行政运行</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123.17</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59.57</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51.58</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7.99</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63.60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2050803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0.66</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0.66</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0.66</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6.29</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6.29</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6.29</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3.50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3.50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0.22</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0.22</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0.22</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行政单位医疗</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2.94</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2.94</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2.94</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1.96</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1.96</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1.96</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5.25</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5.25</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5.25</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649" w:type="dxa"/>
            <w:gridSpan w:val="10"/>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tabs>
          <w:tab w:val="center" w:pos="7730"/>
          <w:tab w:val="left" w:pos="14636"/>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22" w:name="bookmark58"/>
      <w:bookmarkStart w:id="23" w:name="bookmark56"/>
      <w:bookmarkStart w:id="24" w:name="bookmark57"/>
      <w:r>
        <w:rPr>
          <w:rFonts w:ascii="宋体" w:eastAsia="宋体" w:hAnsi="宋体" w:asciiTheme="minorEastAsia" w:eastAsiaTheme="minorEastAsia" w:hAnsiTheme="minorEastAsia" w:cs="Arial" w:cstheme="minorEastAsia" w:hint="eastAsia"/>
          <w:sz w:val="32"/>
          <w:szCs w:val="32"/>
        </w:rPr>
        <w:t xml:space="preserve">一般公共预算基本支出情况表</w:t>
      </w:r>
      <w:bookmarkEnd w:id="22"/>
      <w:bookmarkEnd w:id="23"/>
      <w:bookmarkEnd w:id="24"/>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河池市人民政府驻南宁办事处</w:t>
            </w:r>
          </w:p>
        </w:tc>
        <w:tc>
          <w:tcPr>
            <w:tcW w:w="3113" w:type="dxa"/>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vertAlign w:val="baseline"/>
                <w:lang w:val="en-US" w:eastAsia="zh-CN"/>
              </w:rPr>
              <w:t xml:space="preserve">表06</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部门预算支出经济分类科目</w:t>
            </w:r>
          </w:p>
        </w:tc>
        <w:tc>
          <w:tcPr>
            <w:tcW w:w="9336" w:type="dxa"/>
            <w:gridSpan w:val="3"/>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本年一般公共预算基本支出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科目名称</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311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31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80.39</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71.74</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8.65</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70.32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70.32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16.46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16.46</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11.99</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11.99</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16.11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16.11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6.29</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6.29</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职业年金缴费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2.80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2.80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0.35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0.35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5.83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5.83</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8.65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8.65</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0.59</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0.59</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30214</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租赁费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0.66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0.66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0.87</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0.87</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福利费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0.02</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3.78</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3.78</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医疗费补助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0.22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0.22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tblHeader/>
        </w:trPr>
        <w:tc>
          <w:tcPr>
            <w:tcW w:w="15557" w:type="dxa"/>
            <w:gridSpan w:val="5"/>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jc w:val="left"/>
        <w:rPr>
          <w:rFonts w:ascii="宋体" w:eastAsia="宋体" w:hAnsi="宋体" w:asciiTheme="minorEastAsia" w:eastAsiaTheme="minorEastAsia" w:hAnsiTheme="minorEastAsia" w:cs="Arial" w:cstheme="minorEastAsia" w:hint="eastAsia"/>
          <w:sz w:val="32"/>
          <w:szCs w:val="32"/>
          <w:lang w:eastAsia="zh-CN"/>
        </w:rPr>
      </w:pPr>
    </w:p>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25" w:name="bookmark65"/>
      <w:bookmarkStart w:id="26" w:name="bookmark67"/>
      <w:bookmarkStart w:id="27" w:name="bookmark66"/>
      <w:r>
        <w:rPr>
          <w:rFonts w:ascii="宋体" w:eastAsia="宋体" w:hAnsi="宋体" w:asciiTheme="minorEastAsia" w:eastAsiaTheme="minorEastAsia" w:hAnsiTheme="minorEastAsia" w:cs="Arial" w:cstheme="minorEastAsia" w:hint="eastAsia"/>
          <w:sz w:val="32"/>
          <w:szCs w:val="32"/>
          <w:lang w:val="en-US" w:eastAsia="zh-CN"/>
        </w:rPr>
        <w:t xml:space="preserve">一般公共预算“三公”经费预算表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河池市人民政府驻南宁办事处</w:t>
            </w:r>
          </w:p>
        </w:tc>
        <w:tc>
          <w:tcPr>
            <w:tcW w:w="1891" w:type="dxa"/>
            <w:gridSpan w:val="2"/>
            <w:tcBorders>
              <w:top w:val="nil"/>
              <w:left w:val="nil"/>
              <w:right w:val="nil"/>
            </w:tcBorders>
          </w:tcPr>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表07</w:t>
            </w:r>
          </w:p>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部</w:t>
            </w:r>
            <w:r>
              <w:rPr>
                <w:rFonts w:ascii="宋体" w:eastAsia="宋体" w:hAnsi="宋体" w:asciiTheme="minorEastAsia" w:eastAsiaTheme="minorEastAsia" w:hAnsiTheme="minorEastAsia" w:cs="Arial" w:cstheme="minorEastAsia" w:hint="eastAsia"/>
                <w:sz w:val="18"/>
                <w:szCs w:val="18"/>
              </w:rPr>
              <w:t xml:space="preserve">门（单位）代码</w:t>
            </w:r>
          </w:p>
        </w:tc>
        <w:tc>
          <w:tcPr>
            <w:tcW w:w="1918"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11343" w:type="dxa"/>
            <w:gridSpan w:val="7"/>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zh-CN" w:eastAsia="zh-CN" w:bidi="zh-CN"/>
              </w:rPr>
              <w:t xml:space="preserve">“三</w:t>
            </w:r>
            <w:r>
              <w:rPr>
                <w:rFonts w:ascii="宋体" w:eastAsia="宋体" w:hAnsi="宋体" w:asciiTheme="minorEastAsia" w:eastAsiaTheme="minorEastAsia" w:hAnsiTheme="minorEastAsia" w:cs="Arial" w:cstheme="minorEastAsia" w:hint="eastAsia"/>
                <w:sz w:val="18"/>
                <w:szCs w:val="18"/>
              </w:rPr>
              <w:t xml:space="preserve">公”经费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1895"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因公出国（境）费</w:t>
            </w:r>
          </w:p>
        </w:tc>
        <w:tc>
          <w:tcPr>
            <w:tcW w:w="5675" w:type="dxa"/>
            <w:gridSpan w:val="4"/>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公务用车购置及运行维护费</w:t>
            </w:r>
          </w:p>
        </w:tc>
        <w:tc>
          <w:tcPr>
            <w:tcW w:w="1889"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公务接待费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95"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90" w:type="dxa"/>
            <w:vAlign w:val="center"/>
          </w:tcPr>
          <w:p>
            <w:pPr>
              <w:pStyle w:val="Other|1"/>
              <w:spacing w:line="240" w:lineRule="auto"/>
              <w:ind w:firstLine="22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公务用车运行维护费</w:t>
            </w:r>
          </w:p>
        </w:tc>
        <w:tc>
          <w:tcPr>
            <w:tcW w:w="1897" w:type="dxa"/>
            <w:gridSpan w:val="2"/>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公务用车购置费</w:t>
            </w:r>
          </w:p>
        </w:tc>
        <w:tc>
          <w:tcPr>
            <w:tcW w:w="1889"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9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8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897"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88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103002</w:t>
            </w:r>
          </w:p>
        </w:tc>
        <w:tc>
          <w:tcPr>
            <w:tcW w:w="1918"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6.50</w:t>
            </w:r>
          </w:p>
        </w:tc>
        <w:tc>
          <w:tcPr>
            <w:tcW w:w="1895"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6.50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val="en-US" w:eastAsia="zh-CN"/>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rPr>
      </w:pPr>
      <w:r>
        <w:rPr>
          <w:rFonts w:ascii="宋体" w:eastAsia="宋体" w:hAnsi="宋体" w:asciiTheme="minorEastAsia" w:eastAsiaTheme="minorEastAsia" w:hAnsiTheme="minorEastAsia" w:cs="Arial" w:cstheme="minorEastAsia" w:hint="eastAsia"/>
          <w:sz w:val="32"/>
          <w:szCs w:val="32"/>
        </w:rPr>
        <w:t xml:space="preserve">政府性基金预算支出情况表</w:t>
      </w:r>
      <w:bookmarkEnd w:id="25"/>
      <w:bookmarkEnd w:id="26"/>
      <w:bookmarkEnd w:id="27"/>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4"/>
        <w:gridCol w:w="2160"/>
        <w:gridCol w:w="2161"/>
        <w:gridCol w:w="2221"/>
        <w:gridCol w:w="2160"/>
        <w:gridCol w:w="2169"/>
        <w:gridCol w:w="216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3328" w:type="dxa"/>
            <w:gridSpan w:val="6"/>
            <w:tcBorders>
              <w:top w:val="nil"/>
              <w:left w:val="nil"/>
              <w:right w:val="nil"/>
            </w:tcBorders>
            <w:vAlign w:val="bottom"/>
          </w:tcPr>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p>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河池市人民政府驻南宁办事处</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51" w:type="dxa"/>
            <w:tcBorders>
              <w:top w:val="nil"/>
              <w:left w:val="nil"/>
              <w:right w:val="nil"/>
            </w:tcBorders>
            <w:vAlign w:val="bottom"/>
          </w:tcPr>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表08</w:t>
            </w:r>
          </w:p>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49"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50"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4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5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5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49"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50"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5479" w:type="dxa"/>
            <w:gridSpan w:val="7"/>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Tablecaption|1"/>
        <w:bidi w:val="0"/>
        <w:jc w:val="center"/>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国有资本经营预算支出情况表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5"/>
        <w:gridCol w:w="2152"/>
        <w:gridCol w:w="2153"/>
        <w:gridCol w:w="2279"/>
        <w:gridCol w:w="2152"/>
        <w:gridCol w:w="2152"/>
        <w:gridCol w:w="215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68"/>
        </w:trPr>
        <w:tc>
          <w:tcPr>
            <w:tcW w:w="13394" w:type="dxa"/>
            <w:gridSpan w:val="6"/>
            <w:tcBorders>
              <w:top w:val="nil"/>
              <w:left w:val="nil"/>
              <w:right w:val="nil"/>
            </w:tcBorders>
            <w:vAlign w:val="bottom"/>
          </w:tcPr>
          <w:p>
            <w:pPr>
              <w:pStyle w:val="Tablecaption|1"/>
              <w:tabs>
                <w:tab w:val="left" w:pos="14213"/>
              </w:tabs>
              <w:ind w:left="101"/>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河池市人民政府驻南宁办事处</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63" w:type="dxa"/>
            <w:tcBorders>
              <w:top w:val="nil"/>
              <w:left w:val="nil"/>
              <w:right w:val="nil"/>
            </w:tcBorders>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表09</w:t>
            </w:r>
          </w:p>
          <w:p>
            <w:pPr>
              <w:pStyle w:val="Tablecaption|1"/>
              <w:tabs>
                <w:tab w:val="left" w:pos="14213"/>
              </w:tabs>
              <w:ind w:left="101"/>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61"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62"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1"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2"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1</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2</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3</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4</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1"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jc w:val="left"/>
              <w:rPr>
                <w:rFonts w:ascii="宋体" w:eastAsia="宋体" w:hAnsi="宋体" w:asciiTheme="minorEastAsia" w:eastAsiaTheme="minorEastAsia" w:hAnsiTheme="minorEastAsia" w:cs="Arial" w:cstheme="minorEastAsia" w:hint="eastAsia"/>
                <w:b w:val="0"/>
                <w:bCs w:val="0"/>
                <w:sz w:val="18"/>
                <w:szCs w:val="18"/>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注：本报表金额单位转换时可能存在四舍五入尾数误差。本部门</w:t>
            </w:r>
            <w:r>
              <w:rPr>
                <w:rFonts w:ascii="宋体" w:eastAsia="宋体" w:hAnsi="宋体" w:asciiTheme="minorEastAsia" w:eastAsiaTheme="minorEastAsia" w:hAnsiTheme="minorEastAsia" w:cs="Arial" w:cstheme="minorEastAsia" w:hint="eastAsia"/>
                <w:b w:val="0"/>
                <w:bCs w:val="0"/>
                <w:sz w:val="18"/>
                <w:szCs w:val="18"/>
                <w:lang w:eastAsia="zh-CN"/>
              </w:rPr>
              <w:t xml:space="preserve">2024</w:t>
            </w:r>
            <w:r>
              <w:rPr>
                <w:sz w:val="18"/>
                <w:u w:color="auto"/>
              </w:rPr>
              <w:t xml:space="preserve">年</w:t>
            </w:r>
            <w:r>
              <w:rPr>
                <w:rFonts w:ascii="宋体" w:eastAsia="宋体" w:hAnsi="宋体" w:asciiTheme="minorEastAsia" w:eastAsiaTheme="minorEastAsia" w:hAnsiTheme="minorEastAsia" w:cs="Arial" w:cstheme="minorEastAsia" w:hint="eastAsia"/>
                <w:b w:val="0"/>
                <w:bCs w:val="0"/>
                <w:sz w:val="18"/>
                <w:szCs w:val="18"/>
              </w:rPr>
              <w:t xml:space="preserve">度没有国有资本经营预算支出，故本表无数据</w:t>
            </w: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2024年度预算项目绩效目标公开表</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5"/>
        <w:gridCol w:w="2563"/>
        <w:gridCol w:w="3355"/>
        <w:gridCol w:w="1513"/>
        <w:gridCol w:w="6085"/>
      </w:tblGrid>
      <w:tr>
        <w:trPr>
          <w:cantSplit/>
          <w:trHeight w:hRule="exact" w:val="430"/>
        </w:trPr>
        <w:tc>
          <w:tcPr>
            <w:tcW w:w="9263" w:type="dxa"/>
            <w:gridSpan w:val="4"/>
            <w:shd w:val="clear" w:color="auto" w:fill="FFFFFF"/>
            <w:vAlign w:val="bottom"/>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河池市人民政府驻南宁办事处</w:t>
            </w:r>
          </w:p>
        </w:tc>
        <w:tc>
          <w:tcPr>
            <w:tcW w:w="6076" w:type="dxa"/>
            <w:shd w:val="clear" w:color="auto" w:fill="FFFFFF"/>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表10</w:t>
            </w:r>
          </w:p>
          <w:p>
            <w:pPr>
              <w:pStyle w:val="Heading#2|1"/>
              <w:keepNext/>
              <w:keepLines/>
              <w:spacing w:after="24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sz w:val="18"/>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年度绩效目标</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河池市人民政府驻南宁办事处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**南宁高铁站接驳车辆经费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43.60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高效完成市四班领导往返南宁高铁站接驳相关工作。</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河池市人民政府驻南宁办事处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市政府驻南宁办事处专项经费(非税)</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据实支付。</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河池市人民政府驻南宁办事处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市政府驻南宁办事处专项经费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据实支付。</w:t>
            </w:r>
          </w:p>
        </w:tc>
      </w:tr>
    </w:tbl>
    <w:p>
      <w:pPr>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18"/>
          <w:szCs w:val="18"/>
        </w:rPr>
        <w:t xml:space="preserve">注：本报表</w:t>
      </w:r>
      <w:r>
        <w:rPr>
          <w:rFonts w:ascii="宋体" w:eastAsia="宋体" w:hAnsi="宋体" w:asciiTheme="minorEastAsia" w:eastAsiaTheme="minorEastAsia" w:hAnsiTheme="minorEastAsia" w:cs="Arial" w:cstheme="minorEastAsia" w:hint="eastAsia"/>
          <w:sz w:val="18"/>
          <w:szCs w:val="18"/>
          <w:lang w:val="en-US" w:eastAsia="zh-CN"/>
        </w:rPr>
        <w:t xml:space="preserve">不包含不宜公开的项目，</w:t>
      </w:r>
      <w:r>
        <w:rPr>
          <w:rFonts w:ascii="宋体" w:eastAsia="宋体" w:hAnsi="宋体" w:asciiTheme="minorEastAsia" w:eastAsiaTheme="minorEastAsia" w:hAnsiTheme="minorEastAsia" w:cs="Arial" w:cstheme="minorEastAsia" w:hint="eastAsia"/>
          <w:sz w:val="18"/>
          <w:szCs w:val="18"/>
        </w:rPr>
        <w:t xml:space="preserve">金额单位转换时可能存在四舍五入尾数误差</w:t>
      </w:r>
      <w:r>
        <w:rPr>
          <w:rFonts w:ascii="宋体" w:eastAsia="宋体" w:hAnsi="宋体" w:asciiTheme="minorEastAsia" w:eastAsiaTheme="minorEastAsia" w:hAnsiTheme="minorEastAsia" w:cs="Arial" w:cstheme="minorEastAsia" w:hint="eastAsia"/>
          <w:sz w:val="32"/>
          <w:szCs w:val="32"/>
        </w:rPr>
        <w:t xml:space="preserve">。</w:t>
      </w:r>
    </w:p>
    <w:p>
      <w:pPr>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rFonts w:ascii="黑体" w:eastAsia="黑体" w:hAnsi="黑体" w:cs="黑体" w:hint="eastAsia"/>
          <w:sz w:val="32"/>
          <w:szCs w:val="32"/>
        </w:rPr>
      </w:pPr>
      <w:bookmarkStart w:id="28" w:name="bookmark96"/>
      <w:bookmarkStart w:id="29" w:name="bookmark94"/>
      <w:bookmarkStart w:id="30" w:name="bookmark95"/>
      <w:r>
        <w:rPr>
          <w:rFonts w:ascii="黑体" w:eastAsia="黑体" w:hAnsi="黑体" w:cs="黑体" w:hint="eastAsia"/>
          <w:sz w:val="32"/>
          <w:szCs w:val="32"/>
        </w:rPr>
        <w:t xml:space="preserve">第四部</w:t>
      </w:r>
      <w:r>
        <w:rPr>
          <w:rFonts w:ascii="黑体" w:eastAsia="黑体" w:hAnsi="黑体" w:cs="黑体" w:hint="eastAsia"/>
          <w:sz w:val="32"/>
          <w:szCs w:val="32"/>
        </w:rPr>
        <w:t xml:space="preserve">分名词解释</w:t>
      </w:r>
      <w:bookmarkEnd w:id="28"/>
      <w:bookmarkEnd w:id="29"/>
      <w:bookmarkEnd w:id="30"/>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1" w:name="bookmark97"/>
      <w:r>
        <w:rPr>
          <w:rFonts w:ascii="宋体" w:eastAsia="宋体" w:hAnsi="宋体" w:asciiTheme="minorEastAsia" w:eastAsiaTheme="minorEastAsia" w:hAnsiTheme="minorEastAsia" w:cs="Arial" w:cstheme="minorEastAsia" w:hint="eastAsia"/>
          <w:sz w:val="32"/>
          <w:szCs w:val="32"/>
        </w:rPr>
        <w:t xml:space="preserve">一</w:t>
      </w:r>
      <w:bookmarkEnd w:id="31"/>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财政拨款收入：指预算单位从本级财政部门取得的财政预算资金收入。</w:t>
      </w:r>
    </w:p>
    <w:p>
      <w:pPr>
        <w:pStyle w:val="Bodytext|1"/>
        <w:tabs>
          <w:tab w:val="left" w:pos="128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2" w:name="bookmark98"/>
      <w:r>
        <w:rPr>
          <w:rFonts w:ascii="宋体" w:eastAsia="宋体" w:hAnsi="宋体" w:asciiTheme="minorEastAsia" w:eastAsiaTheme="minorEastAsia" w:hAnsiTheme="minorEastAsia" w:cs="Arial" w:cstheme="minorEastAsia" w:hint="eastAsia"/>
          <w:sz w:val="32"/>
          <w:szCs w:val="32"/>
        </w:rPr>
        <w:t xml:space="preserve">二</w:t>
      </w:r>
      <w:bookmarkEnd w:id="32"/>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事业收入：指事业单位开展专业业务活动及辅助活动所取得的收入。</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3" w:name="bookmark99"/>
      <w:r>
        <w:rPr>
          <w:rFonts w:ascii="宋体" w:eastAsia="宋体" w:hAnsi="宋体" w:asciiTheme="minorEastAsia" w:eastAsiaTheme="minorEastAsia" w:hAnsiTheme="minorEastAsia" w:cs="Arial" w:cstheme="minorEastAsia" w:hint="eastAsia"/>
          <w:sz w:val="32"/>
          <w:szCs w:val="32"/>
        </w:rPr>
        <w:t xml:space="preserve">三</w:t>
      </w:r>
      <w:bookmarkEnd w:id="33"/>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4" w:name="bookmark100"/>
      <w:r>
        <w:rPr>
          <w:rFonts w:ascii="宋体" w:eastAsia="宋体" w:hAnsi="宋体" w:asciiTheme="minorEastAsia" w:eastAsiaTheme="minorEastAsia" w:hAnsiTheme="minorEastAsia" w:cs="Arial" w:cstheme="minorEastAsia" w:hint="eastAsia"/>
          <w:sz w:val="32"/>
          <w:szCs w:val="32"/>
        </w:rPr>
        <w:t xml:space="preserve">四</w:t>
      </w:r>
      <w:bookmarkEnd w:id="34"/>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其他收入：指除上述</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val="zh-CN" w:eastAsia="zh-CN" w:bidi="zh-CN"/>
        </w:rPr>
        <w:t xml:space="preserve">“事</w:t>
      </w:r>
      <w:r>
        <w:rPr>
          <w:rFonts w:ascii="宋体" w:eastAsia="宋体" w:hAnsi="宋体" w:asciiTheme="minorEastAsia" w:eastAsiaTheme="minorEastAsia" w:hAnsiTheme="minorEastAsia" w:cs="Arial" w:cstheme="minorEastAsia" w:hint="eastAsia"/>
          <w:sz w:val="32"/>
          <w:szCs w:val="32"/>
        </w:rPr>
        <w:t xml:space="preserve">业收入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等以外的收入。主要是非本级财政拨款、存款利息收入、事业单位固定资产出租收入等。</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5" w:name="bookmark101"/>
      <w:r>
        <w:rPr>
          <w:rFonts w:ascii="宋体" w:eastAsia="宋体" w:hAnsi="宋体" w:asciiTheme="minorEastAsia" w:eastAsiaTheme="minorEastAsia" w:hAnsiTheme="minorEastAsia" w:cs="Arial" w:cstheme="minorEastAsia" w:hint="eastAsia"/>
          <w:sz w:val="32"/>
          <w:szCs w:val="32"/>
        </w:rPr>
        <w:t xml:space="preserve">五</w:t>
      </w:r>
      <w:bookmarkEnd w:id="35"/>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用事业基金弥补收支差额：指事业单位在用当年的</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“事业</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“其他</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6" w:name="bookmark102"/>
      <w:r>
        <w:rPr>
          <w:rFonts w:ascii="宋体" w:eastAsia="宋体" w:hAnsi="宋体" w:asciiTheme="minorEastAsia" w:eastAsiaTheme="minorEastAsia" w:hAnsiTheme="minorEastAsia" w:cs="Arial" w:cstheme="minorEastAsia" w:hint="eastAsia"/>
          <w:sz w:val="32"/>
          <w:szCs w:val="32"/>
        </w:rPr>
        <w:t xml:space="preserve">六</w:t>
      </w:r>
      <w:bookmarkEnd w:id="36"/>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年初结转和结余：指以前年度尚未完成、结转到本年按有关规定继续使用的资金。</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7" w:name="bookmark103"/>
      <w:r>
        <w:rPr>
          <w:rFonts w:ascii="宋体" w:eastAsia="宋体" w:hAnsi="宋体" w:asciiTheme="minorEastAsia" w:eastAsiaTheme="minorEastAsia" w:hAnsiTheme="minorEastAsia" w:cs="Arial" w:cstheme="minorEastAsia" w:hint="eastAsia"/>
          <w:sz w:val="32"/>
          <w:szCs w:val="32"/>
        </w:rPr>
        <w:t xml:space="preserve">七</w:t>
      </w:r>
      <w:bookmarkEnd w:id="37"/>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8" w:name="bookmark104"/>
      <w:r>
        <w:rPr>
          <w:rFonts w:ascii="宋体" w:eastAsia="宋体" w:hAnsi="宋体" w:asciiTheme="minorEastAsia" w:eastAsiaTheme="minorEastAsia" w:hAnsiTheme="minorEastAsia" w:cs="Arial" w:cstheme="minorEastAsia" w:hint="eastAsia"/>
          <w:sz w:val="32"/>
          <w:szCs w:val="32"/>
        </w:rPr>
        <w:t xml:space="preserve">八</w:t>
      </w:r>
      <w:bookmarkEnd w:id="38"/>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bookmarkStart w:id="39" w:name="bookmark105"/>
      <w:r>
        <w:rPr>
          <w:rFonts w:ascii="宋体" w:eastAsia="宋体" w:hAnsi="宋体" w:asciiTheme="minorEastAsia" w:eastAsiaTheme="minorEastAsia" w:hAnsiTheme="minorEastAsia" w:cs="Arial" w:cstheme="minorEastAsia" w:hint="eastAsia"/>
          <w:sz w:val="32"/>
          <w:szCs w:val="32"/>
        </w:rPr>
        <w:t xml:space="preserve">九</w:t>
      </w:r>
      <w:bookmarkEnd w:id="39"/>
      <w:r>
        <w:rPr>
          <w:rFonts w:ascii="宋体" w:eastAsia="宋体" w:hAnsi="宋体" w:asciiTheme="minorEastAsia" w:eastAsiaTheme="minorEastAsia" w:hAnsiTheme="minorEastAsia" w:cs="Arial" w:cstheme="minorEastAsia" w:hint="eastAsia"/>
          <w:sz w:val="32"/>
          <w:szCs w:val="32"/>
        </w:rPr>
        <w:t xml:space="preserve">、基本支出：指为保障机构正常运转、完成日常工作任务而发生的人员支出和公用支出。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十、项目支出：指在基本支出之外为完成特定行政任务和事业发展目标所发生的支出。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十一、经营支出：指事业单位在专业业务活动及其辅助活动之外开展非独立核算经营活动所发生的支出。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十二、</w:t>
      </w:r>
      <w:r>
        <w:rPr>
          <w:rFonts w:ascii="宋体" w:eastAsia="宋体" w:hAnsi="宋体" w:asciiTheme="minorEastAsia" w:eastAsiaTheme="minorEastAsia" w:hAnsiTheme="minorEastAsia" w:cs="Arial" w:cstheme="minorEastAsia" w:hint="eastAsia"/>
          <w:sz w:val="32"/>
          <w:szCs w:val="32"/>
          <w:lang w:val="zh-CN" w:eastAsia="zh-CN" w:bidi="zh-CN"/>
        </w:rPr>
        <w:t xml:space="preserve">“三</w:t>
      </w:r>
      <w:r>
        <w:rPr>
          <w:rFonts w:ascii="宋体" w:eastAsia="宋体" w:hAnsi="宋体" w:asciiTheme="minorEastAsia" w:eastAsiaTheme="minorEastAsia" w:hAnsiTheme="minorEastAsia" w:cs="Arial" w:cstheme="minorEastAsia" w:hint="eastAsia"/>
          <w:sz w:val="32"/>
          <w:szCs w:val="32"/>
        </w:rPr>
        <w:t xml:space="preserve">公”经费：纳入财政预决算管理的</w:t>
      </w:r>
      <w:r>
        <w:rPr>
          <w:rFonts w:ascii="宋体" w:eastAsia="宋体" w:hAnsi="宋体" w:asciiTheme="minorEastAsia" w:eastAsiaTheme="minorEastAsia" w:hAnsiTheme="minorEastAsia" w:cs="Arial" w:cstheme="minorEastAsia" w:hint="eastAsia"/>
          <w:sz w:val="32"/>
          <w:szCs w:val="32"/>
          <w:lang w:val="zh-CN" w:eastAsia="zh-CN" w:bidi="zh-CN"/>
        </w:rPr>
        <w:t xml:space="preserve">“三公</w:t>
      </w:r>
      <w:r>
        <w:rPr>
          <w:rFonts w:ascii="宋体" w:eastAsia="宋体" w:hAnsi="宋体" w:asciiTheme="minorEastAsia" w:eastAsiaTheme="minorEastAsia" w:hAnsiTheme="minorEastAsia" w:cs="Arial" w:cstheme="minorEastAsia" w:hint="eastAsia"/>
          <w:sz w:val="32"/>
          <w:szCs w:val="32"/>
        </w:rPr>
        <w:t xml:space="preserve">”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3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060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083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060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084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061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0842"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061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0843"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061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4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061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83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60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84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61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doNotDisplayPageBoundaries/>
  <w:bordersDoNotSurroundFooter w:val="0"/>
  <w:bordersDoNotSurroundHeader w:val="0"/>
  <w:doNotTrackMoves/>
  <w:documentProtection w:enforcement="1" w:edit="comments" w:salt="0mZcq4runk9JTaDhgcDupg==" w:hash="nd/S9c2uXTqGD6d5NupPc6XV0gsk30ym9Pr/GB1DnfN/ewZxQQRxyUMWdLeKxib/+lyqsRvN7HH/38c9gJ2rv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TableNormal">
    <w:name w:val="Normal Table"/>
    <w:autoRedefine/>
    <w:uiPriority w:val="99"/>
    <w:semiHidden/>
    <w:unhideWhenUsed/>
    <w:qFormat/>
    <w:rPr/>
    <w:tblPr>
      <w:tblCellMar>
        <w:top w:w="0" w:type="dxa"/>
        <w:left w:w="108" w:type="dxa"/>
        <w:bottom w:w="0" w:type="dxa"/>
        <w:right w:w="108" w:type="dxa"/>
      </w:tblCellMar>
    </w:tblPr>
  </w:style>
  <w:style w:type="paragraph" w:styleId="annotationtext">
    <w:name w:val="annotation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TableNormal"/>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notationreference">
    <w:name w:val="annotation reference"/>
    <w:basedOn w:val="DefaultParagraphFont"/>
    <w:autoRedefine/>
    <w:qFormat/>
    <w:rPr>
      <w:sz w:val="21"/>
      <w:szCs w:val="21"/>
    </w:rPr>
  </w:style>
  <w:style w:type="character" w:customStyle="1" w:styleId="Bodytext|5_">
    <w:name w:val="Body text|5_"/>
    <w:basedOn w:val="DefaultParagraphFont"/>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autoRedefine/>
    <w:qFormat/>
    <w:rPr>
      <w:sz w:val="20"/>
      <w:szCs w:val="20"/>
      <w:u w:val="none"/>
      <w:shd w:val="clear" w:color="auto" w:fill="auto"/>
      <w:lang w:val="zh-TW" w:eastAsia="zh-TW" w:bidi="zh-TW"/>
    </w:rPr>
  </w:style>
  <w:style w:type="paragraph" w:customStyle="1" w:styleId="Headerorfooter|2">
    <w:name w:val="Header or footer|2"/>
    <w:basedOn w:val="Normal"/>
    <w:autoRedefine/>
    <w:qFormat/>
    <w:rPr>
      <w:sz w:val="20"/>
      <w:szCs w:val="20"/>
      <w:lang w:val="zh-TW" w:eastAsia="zh-TW" w:bidi="zh-TW"/>
    </w:rPr>
  </w:style>
  <w:style w:type="character" w:customStyle="1" w:styleId="Bodytext|2_">
    <w:name w:val="Body text|2_"/>
    <w:basedOn w:val="DefaultParagraphFont"/>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autoRedefine/>
    <w:qFormat/>
    <w:rPr>
      <w:b/>
      <w:bCs/>
      <w:sz w:val="17"/>
      <w:szCs w:val="17"/>
      <w:u w:val="none"/>
      <w:shd w:val="clear" w:color="auto" w:fill="auto"/>
      <w:lang w:val="zh-TW" w:eastAsia="zh-TW" w:bidi="zh-TW"/>
    </w:rPr>
  </w:style>
  <w:style w:type="paragraph" w:customStyle="1" w:styleId="Headerorfooter|1">
    <w:name w:val="Header or footer|1"/>
    <w:basedOn w:val="Normal"/>
    <w:autoRedefine/>
    <w:qFormat/>
    <w:rPr>
      <w:b/>
      <w:bCs/>
      <w:sz w:val="17"/>
      <w:szCs w:val="17"/>
      <w:lang w:val="zh-TW" w:eastAsia="zh-TW" w:bidi="zh-TW"/>
    </w:rPr>
  </w:style>
  <w:style w:type="character" w:customStyle="1" w:styleId="Heading#2|1_">
    <w:name w:val="Heading #2|1_"/>
    <w:basedOn w:val="DefaultParagraphFont"/>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autoRedefine/>
    <w:qFormat/>
    <w:rPr>
      <w:rFonts w:ascii="宋体" w:eastAsia="宋体" w:hAnsi="宋体" w:cs="宋体"/>
      <w:sz w:val="17"/>
      <w:szCs w:val="17"/>
      <w:lang w:val="zh-TW" w:eastAsia="zh-TW" w:bidi="zh-TW"/>
    </w:rPr>
  </w:style>
  <w:style w:type="character" w:customStyle="1" w:styleId="Bodytext|4_">
    <w:name w:val="Body text|4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autoRedefine/>
    <w:qFormat/>
    <w:rPr>
      <w:sz w:val="30"/>
      <w:szCs w:val="30"/>
      <w:u w:val="none"/>
      <w:shd w:val="clear" w:color="auto" w:fill="auto"/>
      <w:lang w:val="zh-TW" w:eastAsia="zh-TW" w:bidi="zh-TW"/>
    </w:rPr>
  </w:style>
  <w:style w:type="paragraph" w:customStyle="1" w:styleId="Bodytext|3">
    <w:name w:val="Body text|3"/>
    <w:basedOn w:val="Normal"/>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143.99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ptCount val="5"/>
                <c:pt idx="0">
                  <c:v>123.17</c:v>
                </c:pt>
                <c:pt idx="1">
                  <c:v>0.66</c:v>
                </c:pt>
                <c:pt idx="2">
                  <c:v>10.01</c:v>
                </c:pt>
                <c:pt idx="3">
                  <c:v>4.91</c:v>
                </c:pt>
                <c:pt idx="4">
                  <c:v>5.25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95.17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143.99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80.39</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63.6</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8.65</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71.74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71.74</c:v>
                </c:pt>
                <c:pt idx="1">
                  <c:v>8.65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6.0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6.5</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2024-03-28T00:59:43Z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28</TotalTime>
  <ScaleCrop>false</ScaleCrop>
  <LinksUpToDate>false</LinksUpToDate>
  <CharactersWithSpaces>11333</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188945CC6C5F40C69E357AB1C734F899_13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35</Pages>
  <Words>8576</Words>
  <Characters>11046</Characters>
  <Application>WPS Office_12.1.0.16417_F1E327BC-269C-435d-A152-05C5408002CA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2024-05-27T02:01:52Z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2052-12.1.0.16417</vt:lpstr>
  </property>
  <property fmtid="{D5CDD505-2E9C-101B-9397-08002B2CF9AE}" pid="3" name="ICV">
    <vt:lpstr>188945CC6C5F40C69E357AB1C734F899_13</vt:lpstr>
  </property>
</Properties>
</file>