
<file path=[Content_Types].xml><?xml version="1.0" encoding="utf-8"?>
<Types xmlns="http://schemas.openxmlformats.org/package/2006/content-types">
  <Default ContentType="application/vnd.openxmlformats-package.relationships+xml" Extension="rels"/>
  <Default ContentType="application/vnd.openxmlformats-officedocument.spreadsheetml.sheet" Extension="xlsx"/>
  <Default ContentType="application/xml" Extension="xml"/>
  <Override ContentType="application/xml" PartName="/customXml/item1.xml"/>
  <Override ContentType="application/xml" PartName="/customXml/item2.xml"/>
  <Override ContentType="application/xml" PartName="/customXml/item3.xml"/>
  <Override ContentType="application/xml" PartName="/customXml/item4.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drawingml.chart+xml" PartName="/word/charts/chart1.xml"/>
  <Override ContentType="application/vnd.openxmlformats-officedocument.drawingml.chart+xml" PartName="/word/charts/chart2.xml"/>
  <Override ContentType="application/vnd.openxmlformats-officedocument.drawingml.chart+xml" PartName="/word/charts/chart3.xml"/>
  <Override ContentType="application/vnd.openxmlformats-officedocument.drawingml.chart+xml" PartName="/word/charts/chart4.xml"/>
  <Override ContentType="application/vnd.openxmlformats-officedocument.drawingml.chart+xml" PartName="/word/charts/chart5.xml"/>
  <Override ContentType="application/vnd.openxmlformats-officedocument.drawingml.chart+xml" PartName="/word/charts/chart6.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header+xml" PartName="/word/header5.xml"/>
  <Override ContentType="application/vnd.openxmlformats-officedocument.wordprocessingml.header+xml" PartName="/word/header6.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app.xml" Type="http://schemas.openxmlformats.org/officeDocument/2006/relationships/extended-properties"/><Relationship Id="rId3" Target="docProps/core.xml" Type="http://schemas.openxmlformats.org/package/2006/relationships/metadata/core-properties"/><Relationship Id="rId4" Target="docProps/custom.xml" Type="http://schemas.openxmlformats.org/officeDocument/2006/relationships/custom-properties"/></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wpc="http://schemas.microsoft.com/office/word/2010/wordprocessingCanvas"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w15="http://schemas.microsoft.com/office/word/2012/wordml" mc:Ignorable="w14 w15 wp14">
  <!-- Generated by Spire.Doc -->
  <w:body>
    <w:p>
      <w:pPr>
        <w:pStyle w:val="Bodytext|5"/>
        <w:jc w:val="center"/>
        <w:rPr>
          <w:rFonts w:ascii="华文中宋" w:eastAsia="华文中宋" w:hAnsi="华文中宋" w:cs="华文中宋" w:hint="eastAsia"/>
          <w:sz w:val="44"/>
          <w:szCs w:val="44"/>
          <w:lang w:eastAsia="zh-CN"/>
        </w:rPr>
      </w:pPr>
      <w:r>
        <w:rPr>
          <w:rFonts w:ascii="华文中宋" w:eastAsia="华文中宋" w:hAnsi="华文中宋" w:cs="华文中宋" w:hint="eastAsia"/>
          <w:sz w:val="44"/>
          <w:szCs w:val="44"/>
          <w:lang w:eastAsia="zh-CN"/>
        </w:rPr>
        <w:t xml:space="preserve">河池市纤维检验所</w:t>
      </w:r>
    </w:p>
    <w:p>
      <w:pPr>
        <w:pStyle w:val="Bodytext|5"/>
        <w:jc w:val="center"/>
        <w:rPr>
          <w:rFonts w:ascii="宋体" w:eastAsia="宋体" w:hAnsi="宋体" w:asciiTheme="minorEastAsia" w:eastAsiaTheme="minorEastAsia" w:hAnsiTheme="minorEastAsia" w:cs="Arial" w:cstheme="minorEastAsia" w:hint="eastAsia"/>
          <w:sz w:val="32"/>
          <w:szCs w:val="32"/>
          <w:lang w:val="en-US" w:eastAsia="zh-CN"/>
        </w:rPr>
        <w:sectPr>
          <w:headerReference w:type="default" r:id="rId5"/>
          <w:footerReference w:type="default" r:id="rId6"/>
          <w:pgSz w:w="11900" w:h="16840" w:orient="portrait"/>
          <w:pgMar w:top="4713" w:right="1913" w:bottom="4713" w:left="2020" w:header="4285" w:footer="2381" w:gutter="0"/>
          <w:pgBorders>
            <w:top w:val="none" w:sz="0" w:space="0" w:color="auto"/>
            <w:left w:val="none" w:sz="0" w:space="0" w:color="auto"/>
            <w:bottom w:val="none" w:sz="0" w:space="0" w:color="auto"/>
            <w:right w:val="none" w:sz="0" w:space="0" w:color="auto"/>
          </w:pgBorders>
          <w:pgNumType w:fmt="decimal" w:start="1"/>
          <w:cols w:num="1" w:space="720">
            <w:col w:w="7967" w:space="720"/>
          </w:cols>
          <w:docGrid w:linePitch="360" w:charSpace="0"/>
        </w:sectPr>
      </w:pPr>
      <w:r>
        <w:rPr>
          <w:rFonts w:ascii="华文中宋" w:eastAsia="华文中宋" w:hAnsi="华文中宋" w:cs="华文中宋" w:hint="eastAsia"/>
          <w:sz w:val="44"/>
          <w:szCs w:val="44"/>
          <w:lang w:eastAsia="zh-CN"/>
        </w:rPr>
        <w:t xml:space="preserve">2024</w:t>
      </w:r>
      <w:r>
        <w:rPr>
          <w:rFonts w:ascii="华文中宋" w:eastAsia="华文中宋" w:hAnsi="华文中宋" w:cs="华文中宋" w:hint="eastAsia"/>
          <w:sz w:val="44"/>
          <w:szCs w:val="44"/>
          <w:u w:color="auto"/>
        </w:rPr>
        <w:t xml:space="preserve">年</w:t>
      </w:r>
      <w:r>
        <w:rPr>
          <w:rFonts w:ascii="华文中宋" w:eastAsia="华文中宋" w:hAnsi="华文中宋" w:cs="华文中宋" w:hint="eastAsia"/>
          <w:sz w:val="44"/>
          <w:szCs w:val="44"/>
        </w:rPr>
        <w:t xml:space="preserve">度部门预算</w:t>
      </w:r>
      <w:r>
        <w:rPr>
          <w:rFonts w:ascii="华文中宋" w:eastAsia="华文中宋" w:hAnsi="华文中宋" w:cs="华文中宋" w:hint="eastAsia"/>
          <w:sz w:val="44"/>
          <w:szCs w:val="44"/>
          <w:lang w:val="en-US" w:eastAsia="zh-CN"/>
        </w:rPr>
        <w:t xml:space="preserve">公开及“三公”经费预算编制说明</w:t>
      </w:r>
    </w:p>
    <w:p>
      <w:pPr>
        <w:pStyle w:val="Heading#1|1"/>
        <w:keepNext/>
        <w:keepLines/>
        <w:spacing w:after="240"/>
        <w:jc w:val="center"/>
        <w:rPr>
          <w:rFonts w:ascii="黑体" w:eastAsia="黑体" w:hAnsi="黑体" w:cs="黑体" w:hint="eastAsia"/>
          <w:sz w:val="32"/>
          <w:szCs w:val="32"/>
        </w:rPr>
      </w:pPr>
      <w:bookmarkStart w:id="0" w:name="bookmark2"/>
      <w:bookmarkStart w:id="1" w:name="bookmark0"/>
      <w:bookmarkStart w:id="2" w:name="bookmark1"/>
      <w:r>
        <w:rPr>
          <w:rFonts w:ascii="黑体" w:eastAsia="黑体" w:hAnsi="黑体" w:cs="黑体" w:hint="eastAsia"/>
          <w:sz w:val="32"/>
          <w:szCs w:val="32"/>
        </w:rPr>
        <w:t xml:space="preserve">目</w:t>
      </w:r>
      <w:r>
        <w:rPr>
          <w:rFonts w:ascii="黑体" w:eastAsia="黑体" w:hAnsi="黑体" w:cs="黑体" w:hint="eastAsia"/>
          <w:sz w:val="32"/>
          <w:szCs w:val="32"/>
        </w:rPr>
        <w:t xml:space="preserve">录</w:t>
      </w:r>
      <w:bookmarkEnd w:id="0"/>
      <w:bookmarkEnd w:id="1"/>
      <w:bookmarkEnd w:id="2"/>
    </w:p>
    <w:p>
      <w:pPr>
        <w:pStyle w:val="Bodytext|2"/>
        <w:ind w:left="0" w:firstLine="320" w:leftChars="0" w:firstLineChars="100"/>
        <w:jc w:val="left"/>
        <w:rPr>
          <w:rFonts w:ascii="黑体" w:eastAsia="黑体" w:hAnsi="黑体" w:cs="黑体" w:hint="eastAsia"/>
          <w:sz w:val="32"/>
          <w:szCs w:val="32"/>
        </w:rPr>
      </w:pPr>
      <w:r>
        <w:rPr>
          <w:rFonts w:ascii="黑体" w:eastAsia="黑体" w:hAnsi="黑体" w:cs="黑体" w:hint="eastAsia"/>
          <w:sz w:val="32"/>
          <w:szCs w:val="32"/>
        </w:rPr>
        <w:t xml:space="preserve">第一部分</w:t>
      </w:r>
      <w:r>
        <w:rPr>
          <w:rFonts w:ascii="黑体" w:eastAsia="黑体" w:hAnsi="黑体" w:cs="黑体" w:hint="eastAsia"/>
          <w:sz w:val="32"/>
          <w:szCs w:val="32"/>
          <w:lang w:eastAsia="zh-CN"/>
        </w:rPr>
        <w:t xml:space="preserve">：</w:t>
      </w:r>
      <w:r>
        <w:rPr>
          <w:rFonts w:ascii="黑体" w:eastAsia="黑体" w:hAnsi="黑体" w:cs="黑体"/>
          <w:sz w:val="32"/>
          <w:u w:color="auto"/>
        </w:rPr>
        <w:t xml:space="preserve">河池市纤维检验所</w:t>
      </w:r>
      <w:r>
        <w:rPr>
          <w:rFonts w:ascii="黑体" w:eastAsia="黑体" w:hAnsi="黑体" w:cs="黑体"/>
          <w:sz w:val="32"/>
          <w:u w:color="auto"/>
        </w:rPr>
        <w:t xml:space="preserve">单位</w:t>
      </w:r>
      <w:r>
        <w:rPr>
          <w:rFonts w:ascii="黑体" w:eastAsia="黑体" w:hAnsi="黑体" w:cs="黑体" w:hint="eastAsia"/>
          <w:sz w:val="32"/>
          <w:szCs w:val="32"/>
        </w:rPr>
        <w:t xml:space="preserve">概况</w:t>
      </w:r>
    </w:p>
    <w:p>
      <w:pPr>
        <w:pStyle w:val="Bodytext|2"/>
        <w:jc w:val="left"/>
        <w:rPr>
          <w:rFonts w:ascii="宋体" w:eastAsia="宋体" w:hAnsi="宋体" w:asciiTheme="minorEastAsia" w:eastAsiaTheme="minorEastAsia" w:hAnsiTheme="minorEastAsia" w:cs="Arial" w:cstheme="minorEastAsia" w:hint="eastAsia"/>
          <w:b w:val="0"/>
          <w:bCs w:val="0"/>
          <w:sz w:val="32"/>
          <w:szCs w:val="32"/>
          <w:lang w:val="en-US" w:eastAsia="zh-CN"/>
        </w:rPr>
      </w:pPr>
      <w:r>
        <w:rPr>
          <w:rFonts w:ascii="宋体" w:eastAsia="宋体" w:hAnsi="宋体" w:asciiTheme="minorEastAsia" w:eastAsiaTheme="minorEastAsia" w:hAnsiTheme="minorEastAsia" w:cs="Arial" w:cstheme="minorEastAsia" w:hint="eastAsia"/>
          <w:b w:val="0"/>
          <w:bCs w:val="0"/>
          <w:sz w:val="32"/>
          <w:szCs w:val="32"/>
          <w:lang w:val="en-US" w:eastAsia="zh-CN"/>
        </w:rPr>
        <w:t xml:space="preserve">一、主要职责</w:t>
      </w:r>
    </w:p>
    <w:p>
      <w:pPr>
        <w:pStyle w:val="Bodytext|2"/>
        <w:jc w:val="left"/>
        <w:rPr>
          <w:rFonts w:ascii="宋体" w:eastAsia="宋体" w:hAnsi="宋体" w:asciiTheme="minorEastAsia" w:eastAsiaTheme="minorEastAsia" w:hAnsiTheme="minorEastAsia" w:cs="Arial" w:cstheme="minorEastAsia" w:hint="eastAsia"/>
          <w:b w:val="0"/>
          <w:bCs w:val="0"/>
          <w:sz w:val="32"/>
          <w:szCs w:val="32"/>
        </w:rPr>
      </w:pPr>
      <w:r>
        <w:rPr>
          <w:rFonts w:ascii="宋体" w:eastAsia="宋体" w:hAnsi="宋体" w:asciiTheme="minorEastAsia" w:eastAsiaTheme="minorEastAsia" w:hAnsiTheme="minorEastAsia" w:cs="Arial" w:cstheme="minorEastAsia" w:hint="eastAsia"/>
          <w:b w:val="0"/>
          <w:bCs w:val="0"/>
          <w:sz w:val="32"/>
          <w:szCs w:val="32"/>
          <w:lang w:val="en-US" w:eastAsia="zh-CN"/>
        </w:rPr>
        <w:t xml:space="preserve">二、</w:t>
      </w:r>
      <w:r>
        <w:rPr>
          <w:rFonts w:ascii="宋体" w:eastAsia="宋体" w:hAnsi="宋体" w:asciiTheme="minorEastAsia" w:eastAsiaTheme="minorEastAsia" w:hAnsiTheme="minorEastAsia" w:cs="Arial" w:cstheme="minorEastAsia" w:hint="eastAsia"/>
          <w:b w:val="0"/>
          <w:bCs w:val="0"/>
          <w:sz w:val="32"/>
          <w:szCs w:val="32"/>
        </w:rPr>
        <w:t xml:space="preserve">机构设置情况</w:t>
      </w:r>
    </w:p>
    <w:p>
      <w:pPr>
        <w:pStyle w:val="Bodytext|2"/>
        <w:ind w:left="0" w:firstLine="320" w:leftChars="0" w:firstLineChars="100"/>
        <w:jc w:val="left"/>
        <w:rPr>
          <w:rFonts w:ascii="黑体" w:eastAsia="黑体" w:hAnsi="黑体" w:cs="黑体" w:hint="eastAsia"/>
          <w:sz w:val="32"/>
          <w:szCs w:val="32"/>
        </w:rPr>
      </w:pPr>
      <w:r>
        <w:rPr>
          <w:rFonts w:ascii="黑体" w:eastAsia="黑体" w:hAnsi="黑体" w:cs="黑体" w:hint="eastAsia"/>
          <w:sz w:val="32"/>
          <w:szCs w:val="32"/>
        </w:rPr>
        <w:t xml:space="preserve">第二部分</w:t>
      </w:r>
      <w:r>
        <w:rPr>
          <w:rFonts w:ascii="黑体" w:eastAsia="黑体" w:hAnsi="黑体" w:cs="黑体" w:hint="eastAsia"/>
          <w:sz w:val="32"/>
          <w:szCs w:val="32"/>
          <w:lang w:eastAsia="zh-CN"/>
        </w:rPr>
        <w:t xml:space="preserve">：</w:t>
      </w:r>
      <w:r>
        <w:rPr>
          <w:rFonts w:ascii="黑体" w:eastAsia="黑体" w:hAnsi="黑体" w:cs="黑体"/>
          <w:sz w:val="32"/>
          <w:u w:color="auto"/>
        </w:rPr>
        <w:t xml:space="preserve">河池市纤维检验所</w:t>
      </w:r>
      <w:r>
        <w:rPr>
          <w:rFonts w:ascii="黑体" w:eastAsia="黑体" w:hAnsi="黑体" w:cs="黑体"/>
          <w:sz w:val="32"/>
          <w:u w:color="auto"/>
        </w:rPr>
        <w:t xml:space="preserve">2024</w:t>
      </w:r>
      <w:r>
        <w:rPr>
          <w:rFonts w:ascii="黑体" w:eastAsia="黑体" w:hAnsi="黑体" w:cs="黑体" w:hint="eastAsia"/>
          <w:sz w:val="32"/>
          <w:szCs w:val="32"/>
        </w:rPr>
        <w:t xml:space="preserve">部门预算情况说明</w:t>
      </w:r>
    </w:p>
    <w:p>
      <w:pPr>
        <w:pStyle w:val="Bodytext|2"/>
        <w:numPr>
          <w:ilvl w:val="0"/>
          <w:numId w:val="0"/>
        </w:numPr>
        <w:ind w:firstLine="640" w:firstLineChars="200"/>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一、部门收支总体情况说明</w:t>
      </w:r>
    </w:p>
    <w:p>
      <w:pPr>
        <w:pStyle w:val="Bodytext|2"/>
        <w:numPr>
          <w:ilvl w:val="0"/>
          <w:numId w:val="0"/>
        </w:numPr>
        <w:ind w:firstLine="640" w:firstLineChars="200"/>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二、部门收入总体情况说明</w:t>
      </w:r>
    </w:p>
    <w:p>
      <w:pPr>
        <w:pStyle w:val="Bodytext|2"/>
        <w:numPr>
          <w:ilvl w:val="0"/>
          <w:numId w:val="0"/>
        </w:numPr>
        <w:ind w:firstLine="640" w:firstLineChars="200"/>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三、部门支出总体情况说明</w:t>
      </w:r>
    </w:p>
    <w:p>
      <w:pPr>
        <w:pStyle w:val="Bodytext|2"/>
        <w:numPr>
          <w:ilvl w:val="0"/>
          <w:numId w:val="0"/>
        </w:numPr>
        <w:ind w:firstLine="640" w:firstLineChars="200"/>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四、财政拨款收支总体情况说明</w:t>
      </w:r>
    </w:p>
    <w:p>
      <w:pPr>
        <w:pStyle w:val="Bodytext|2"/>
        <w:numPr>
          <w:ilvl w:val="0"/>
          <w:numId w:val="0"/>
        </w:numPr>
        <w:ind w:firstLine="640" w:firstLineChars="200"/>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五、一般公共预算支出情况说明</w:t>
      </w:r>
    </w:p>
    <w:p>
      <w:pPr>
        <w:pStyle w:val="Bodytext|2"/>
        <w:numPr>
          <w:ilvl w:val="0"/>
          <w:numId w:val="0"/>
        </w:numPr>
        <w:ind w:firstLine="640" w:firstLineChars="200"/>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六、一般公共预算基本支出情况说明</w:t>
      </w:r>
    </w:p>
    <w:p>
      <w:pPr>
        <w:pStyle w:val="Bodytext|2"/>
        <w:numPr>
          <w:ilvl w:val="0"/>
          <w:numId w:val="0"/>
        </w:numPr>
        <w:ind w:firstLine="640" w:firstLineChars="200"/>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七、一般公共预算“三公”经费支出情况说明</w:t>
      </w:r>
    </w:p>
    <w:p>
      <w:pPr>
        <w:pStyle w:val="Bodytext|2"/>
        <w:numPr>
          <w:ilvl w:val="0"/>
          <w:numId w:val="0"/>
        </w:numPr>
        <w:ind w:firstLine="640" w:firstLineChars="200"/>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八、政府性基金预算支出情况说明</w:t>
      </w:r>
    </w:p>
    <w:p>
      <w:pPr>
        <w:pStyle w:val="Bodytext|2"/>
        <w:numPr>
          <w:ilvl w:val="0"/>
          <w:numId w:val="0"/>
        </w:numPr>
        <w:ind w:firstLine="640" w:firstLineChars="200"/>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九、国有资本经营预算支出情况说明</w:t>
      </w:r>
    </w:p>
    <w:p>
      <w:pPr>
        <w:pStyle w:val="Bodytext|2"/>
        <w:numPr>
          <w:ilvl w:val="0"/>
          <w:numId w:val="0"/>
        </w:numPr>
        <w:ind w:firstLine="640" w:firstLineChars="200"/>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十、其他重要事项情况说明</w:t>
      </w:r>
    </w:p>
    <w:p>
      <w:pPr>
        <w:pStyle w:val="Bodytext|2"/>
        <w:ind w:left="0" w:firstLine="320" w:leftChars="0" w:firstLineChars="100"/>
        <w:jc w:val="left"/>
        <w:rPr>
          <w:rFonts w:ascii="黑体" w:eastAsia="黑体" w:hAnsi="黑体" w:cs="黑体" w:hint="eastAsia"/>
          <w:sz w:val="32"/>
          <w:szCs w:val="32"/>
        </w:rPr>
      </w:pPr>
      <w:r>
        <w:rPr>
          <w:rFonts w:ascii="黑体" w:eastAsia="黑体" w:hAnsi="黑体" w:cs="黑体" w:hint="eastAsia"/>
          <w:sz w:val="32"/>
          <w:szCs w:val="32"/>
        </w:rPr>
        <w:t xml:space="preserve">第三部分</w:t>
      </w:r>
      <w:r>
        <w:rPr>
          <w:rFonts w:ascii="黑体" w:eastAsia="黑体" w:hAnsi="黑体" w:cs="黑体" w:hint="eastAsia"/>
          <w:sz w:val="32"/>
          <w:szCs w:val="32"/>
          <w:lang w:eastAsia="zh-CN"/>
        </w:rPr>
        <w:t xml:space="preserve">：</w:t>
      </w:r>
      <w:r>
        <w:rPr>
          <w:rFonts w:ascii="黑体" w:eastAsia="黑体" w:hAnsi="黑体" w:cs="黑体"/>
          <w:sz w:val="32"/>
          <w:u w:color="auto"/>
        </w:rPr>
        <w:t xml:space="preserve">河池市纤维检验所</w:t>
      </w:r>
      <w:r>
        <w:rPr>
          <w:rFonts w:ascii="黑体" w:eastAsia="黑体" w:hAnsi="黑体" w:cs="黑体"/>
          <w:sz w:val="32"/>
          <w:u w:color="auto"/>
        </w:rPr>
        <w:t xml:space="preserve">2024</w:t>
      </w:r>
      <w:r>
        <w:rPr>
          <w:rFonts w:ascii="黑体" w:eastAsia="黑体" w:hAnsi="黑体" w:cs="黑体" w:hint="eastAsia"/>
          <w:sz w:val="32"/>
          <w:szCs w:val="32"/>
          <w:u w:color="auto"/>
        </w:rPr>
        <w:t xml:space="preserve">年</w:t>
      </w:r>
      <w:r>
        <w:rPr>
          <w:rFonts w:ascii="黑体" w:eastAsia="黑体" w:hAnsi="黑体" w:cs="黑体" w:hint="eastAsia"/>
          <w:sz w:val="32"/>
          <w:szCs w:val="32"/>
        </w:rPr>
        <w:t xml:space="preserve">部门预算</w:t>
      </w:r>
      <w:r>
        <w:rPr>
          <w:rFonts w:ascii="黑体" w:eastAsia="黑体" w:hAnsi="黑体" w:cs="黑体" w:hint="eastAsia"/>
          <w:sz w:val="32"/>
          <w:szCs w:val="32"/>
          <w:lang w:val="en-US" w:eastAsia="zh-CN"/>
        </w:rPr>
        <w:t xml:space="preserve">相关报</w:t>
      </w:r>
      <w:r>
        <w:rPr>
          <w:rFonts w:ascii="黑体" w:eastAsia="黑体" w:hAnsi="黑体" w:cs="黑体" w:hint="eastAsia"/>
          <w:sz w:val="32"/>
          <w:szCs w:val="32"/>
        </w:rPr>
        <w:t xml:space="preserve">表</w:t>
      </w:r>
    </w:p>
    <w:p>
      <w:pPr>
        <w:pStyle w:val="Bodytext|2"/>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一、部门收支总体情况表</w:t>
      </w:r>
    </w:p>
    <w:p>
      <w:pPr>
        <w:pStyle w:val="Bodytext|2"/>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二、部门收入总体情况表</w:t>
      </w:r>
    </w:p>
    <w:p>
      <w:pPr>
        <w:pStyle w:val="Bodytext|2"/>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三、部门支出总体情况表</w:t>
      </w:r>
    </w:p>
    <w:p>
      <w:pPr>
        <w:pStyle w:val="Bodytext|2"/>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四、财政拨款收支总体情况表</w:t>
      </w:r>
    </w:p>
    <w:p>
      <w:pPr>
        <w:pStyle w:val="Bodytext|2"/>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五、一般公共预算支出情况表</w:t>
      </w:r>
    </w:p>
    <w:p>
      <w:pPr>
        <w:pStyle w:val="Bodytext|2"/>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六、一般公共预算基本支出情况表</w:t>
      </w:r>
    </w:p>
    <w:p>
      <w:pPr>
        <w:pStyle w:val="Bodytext|2"/>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七、一般公共预算“三公”经费支出情况表</w:t>
      </w:r>
    </w:p>
    <w:p>
      <w:pPr>
        <w:pStyle w:val="Bodytext|2"/>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八、政府性基金预算支出情况表</w:t>
      </w:r>
    </w:p>
    <w:p>
      <w:pPr>
        <w:pStyle w:val="Bodytext|2"/>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九、国有资本经营预算支出情况表</w:t>
      </w:r>
    </w:p>
    <w:p>
      <w:pPr>
        <w:pStyle w:val="Bodytext|2"/>
        <w:jc w:val="left"/>
        <w:rPr>
          <w:rFonts w:ascii="宋体" w:eastAsia="宋体" w:hAnsi="宋体" w:asciiTheme="minorEastAsia" w:eastAsiaTheme="minorEastAsia" w:hAnsiTheme="minorEastAsia" w:cs="Arial" w:cstheme="minorEastAsia" w:hint="eastAsia"/>
          <w:sz w:val="32"/>
          <w:szCs w:val="32"/>
          <w:lang w:eastAsia="zh-CN"/>
        </w:rPr>
      </w:pPr>
      <w:r>
        <w:rPr>
          <w:rFonts w:ascii="宋体" w:eastAsia="宋体" w:hAnsi="宋体" w:asciiTheme="minorEastAsia" w:eastAsiaTheme="minorEastAsia" w:hAnsiTheme="minorEastAsia" w:cs="Arial" w:cstheme="minorEastAsia" w:hint="eastAsia"/>
          <w:sz w:val="32"/>
          <w:szCs w:val="32"/>
        </w:rPr>
        <w:t xml:space="preserve">十、2024年度预算项目绩效目标公开表</w:t>
      </w:r>
    </w:p>
    <w:p>
      <w:pPr>
        <w:pStyle w:val="Bodytext|2"/>
        <w:ind w:left="0" w:firstLine="320" w:leftChars="0" w:firstLineChars="100"/>
        <w:jc w:val="left"/>
        <w:rPr>
          <w:rFonts w:ascii="宋体" w:eastAsia="宋体" w:hAnsi="宋体" w:asciiTheme="minorEastAsia" w:eastAsiaTheme="minorEastAsia" w:hAnsiTheme="minorEastAsia" w:cs="Arial" w:cstheme="minorEastAsia" w:hint="eastAsia"/>
          <w:sz w:val="32"/>
          <w:szCs w:val="32"/>
          <w:lang w:eastAsia="zh-CN"/>
        </w:rPr>
        <w:sectPr>
          <w:footerReference w:type="default" r:id="rId7"/>
          <w:pgSz w:w="11900" w:h="16840" w:orient="portrait"/>
          <w:pgMar w:top="1508" w:right="1674" w:bottom="1508" w:left="1851" w:header="0" w:footer="1077" w:gutter="0"/>
          <w:pgBorders>
            <w:top w:val="none" w:sz="0" w:space="0" w:color="auto"/>
            <w:left w:val="none" w:sz="0" w:space="0" w:color="auto"/>
            <w:bottom w:val="none" w:sz="0" w:space="0" w:color="auto"/>
            <w:right w:val="none" w:sz="0" w:space="0" w:color="auto"/>
          </w:pgBorders>
          <w:pgNumType w:fmt="decimal"/>
          <w:cols w:num="1" w:space="720">
            <w:col w:w="8375" w:space="720"/>
          </w:cols>
          <w:docGrid w:linePitch="360" w:charSpace="0"/>
        </w:sectPr>
      </w:pPr>
      <w:r>
        <w:rPr>
          <w:rFonts w:ascii="黑体" w:eastAsia="黑体" w:hAnsi="黑体" w:cs="黑体" w:hint="eastAsia"/>
          <w:sz w:val="32"/>
          <w:szCs w:val="32"/>
        </w:rPr>
        <w:t xml:space="preserve">第四部分</w:t>
      </w:r>
      <w:r>
        <w:rPr>
          <w:rFonts w:ascii="黑体" w:eastAsia="黑体" w:hAnsi="黑体" w:cs="黑体" w:hint="eastAsia"/>
          <w:sz w:val="32"/>
          <w:szCs w:val="32"/>
          <w:lang w:eastAsia="zh-CN"/>
        </w:rPr>
        <w:t xml:space="preserve">：</w:t>
      </w:r>
      <w:r>
        <w:rPr>
          <w:rFonts w:ascii="黑体" w:eastAsia="黑体" w:hAnsi="黑体" w:cs="黑体" w:hint="eastAsia"/>
          <w:sz w:val="32"/>
          <w:szCs w:val="32"/>
        </w:rPr>
        <w:t xml:space="preserve">名词</w:t>
      </w:r>
      <w:r>
        <w:rPr>
          <w:rFonts w:ascii="黑体" w:eastAsia="黑体" w:hAnsi="黑体" w:cs="黑体" w:hint="eastAsia"/>
          <w:sz w:val="32"/>
          <w:szCs w:val="32"/>
          <w:lang w:val="en-US" w:eastAsia="zh-CN"/>
        </w:rPr>
        <w:t xml:space="preserve">解释</w:t>
      </w:r>
    </w:p>
    <w:p>
      <w:pPr>
        <w:pStyle w:val="Heading#1|1"/>
        <w:keepNext/>
        <w:keepLines/>
        <w:pageBreakBefore w:val="0"/>
        <w:widowControl w:val="0"/>
        <w:kinsoku/>
        <w:wordWrap/>
        <w:overflowPunct/>
        <w:topLinePunct w:val="0"/>
        <w:autoSpaceDE/>
        <w:autoSpaceDN/>
        <w:bidi w:val="0"/>
        <w:adjustRightInd/>
        <w:snapToGrid/>
        <w:spacing w:before="120" w:after="0" w:line="600" w:lineRule="exact"/>
        <w:jc w:val="both"/>
        <w:textAlignment w:val="auto"/>
        <w:rPr>
          <w:rFonts w:ascii="黑体" w:eastAsia="黑体" w:hAnsi="黑体" w:cs="黑体" w:hint="eastAsia"/>
          <w:b w:val="0"/>
          <w:bCs w:val="0"/>
          <w:sz w:val="32"/>
          <w:szCs w:val="32"/>
        </w:rPr>
      </w:pPr>
      <w:bookmarkStart w:id="3" w:name="bookmark13"/>
      <w:bookmarkStart w:id="4" w:name="bookmark12"/>
      <w:bookmarkStart w:id="5" w:name="bookmark14"/>
      <w:r>
        <w:rPr>
          <w:rFonts w:ascii="黑体" w:eastAsia="黑体" w:hAnsi="黑体" w:cs="黑体" w:hint="eastAsia"/>
          <w:b w:val="0"/>
          <w:bCs w:val="0"/>
          <w:sz w:val="32"/>
          <w:szCs w:val="32"/>
        </w:rPr>
        <w:t xml:space="preserve">第一部分</w:t>
      </w:r>
      <w:r>
        <w:rPr>
          <w:rFonts w:ascii="黑体" w:eastAsia="黑体" w:hAnsi="黑体" w:cs="黑体" w:hint="eastAsia"/>
          <w:b w:val="0"/>
          <w:bCs w:val="0"/>
          <w:sz w:val="32"/>
          <w:szCs w:val="32"/>
          <w:lang w:eastAsia="zh-CN"/>
        </w:rPr>
        <w:t xml:space="preserve">：</w:t>
      </w:r>
      <w:r>
        <w:rPr>
          <w:rFonts w:ascii="黑体" w:eastAsia="黑体" w:hAnsi="黑体" w:cs="黑体"/>
          <w:sz w:val="32"/>
          <w:u w:color="auto"/>
        </w:rPr>
        <w:t xml:space="preserve">河池市纤维检验所</w:t>
      </w:r>
      <w:r>
        <w:rPr>
          <w:rFonts w:ascii="黑体" w:eastAsia="黑体" w:hAnsi="黑体" w:cs="黑体" w:hint="eastAsia"/>
          <w:b w:val="0"/>
          <w:bCs w:val="0"/>
          <w:sz w:val="32"/>
          <w:szCs w:val="32"/>
        </w:rPr>
        <w:t xml:space="preserve">概况</w:t>
      </w:r>
      <w:bookmarkEnd w:id="3"/>
      <w:bookmarkEnd w:id="4"/>
      <w:bookmarkEnd w:id="5"/>
    </w:p>
    <w:p>
      <w:pPr>
        <w:pStyle w:val="Bodytext|2"/>
        <w:spacing w:after="0" w:line="619" w:lineRule="exact"/>
        <w:ind w:firstLine="620"/>
        <w:jc w:val="left"/>
        <w:rPr>
          <w:rFonts w:ascii="宋体" w:eastAsia="宋体" w:hAnsi="宋体" w:asciiTheme="minorEastAsia" w:eastAsiaTheme="minorEastAsia" w:hAnsiTheme="minorEastAsia" w:cs="Arial" w:cstheme="minorEastAsia" w:hint="eastAsia"/>
          <w:b/>
          <w:bCs/>
          <w:sz w:val="32"/>
          <w:szCs w:val="32"/>
        </w:rPr>
      </w:pPr>
      <w:r>
        <w:rPr>
          <w:rFonts w:ascii="宋体" w:eastAsia="宋体" w:hAnsi="宋体" w:asciiTheme="minorEastAsia" w:eastAsiaTheme="minorEastAsia" w:hAnsiTheme="minorEastAsia" w:cs="Arial" w:cstheme="minorEastAsia" w:hint="eastAsia"/>
          <w:b/>
          <w:bCs/>
          <w:sz w:val="32"/>
          <w:szCs w:val="32"/>
          <w:lang w:val="en-US" w:eastAsia="zh-CN"/>
        </w:rPr>
        <w:t xml:space="preserve">一、</w:t>
      </w:r>
      <w:r>
        <w:rPr>
          <w:rFonts w:ascii="宋体" w:eastAsia="宋体" w:hAnsi="宋体" w:asciiTheme="minorEastAsia" w:eastAsiaTheme="minorEastAsia" w:hAnsiTheme="minorEastAsia" w:cs="Arial" w:cstheme="minorEastAsia" w:hint="eastAsia"/>
          <w:b/>
          <w:bCs/>
          <w:sz w:val="32"/>
          <w:szCs w:val="32"/>
        </w:rPr>
        <w:t xml:space="preserve">主要职责</w:t>
      </w:r>
    </w:p>
    <w:p>
      <w:pPr>
        <w:pStyle w:val="Bodytext|1"/>
        <w:spacing w:line="623" w:lineRule="exact"/>
        <w:ind w:left="0" w:firstLine="640" w:leftChars="0" w:firstLineChars="200"/>
        <w:jc w:val="left"/>
        <w:rPr>
          <w:rFonts w:ascii="宋体" w:eastAsia="宋体" w:hAnsi="宋体" w:asciiTheme="minorEastAsia" w:eastAsiaTheme="minorEastAsia" w:hAnsiTheme="minorEastAsia" w:cs="Arial" w:cstheme="minorEastAsia" w:hint="eastAsia"/>
          <w:sz w:val="32"/>
          <w:szCs w:val="32"/>
          <w:highlight w:val="yellow"/>
          <w:lang w:val="en-US" w:eastAsia="zh-CN"/>
        </w:rPr>
      </w:pP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河池市纤维检验所的主要职能是：为保证产品质量提供技术支持，向国家市场监督管理总局直属机构中国纤维质量监测中心、河池市政府行政主管部门及其他各政府相关职能部门以及社会提供蚕丝等产品质量技术指标。</w:t>
      </w:r>
    </w:p>
    <w:p>
      <w:pPr>
        <w:pStyle w:val="Bodytext|2"/>
        <w:spacing w:after="0" w:line="619" w:lineRule="exact"/>
        <w:ind w:firstLine="620"/>
        <w:jc w:val="left"/>
        <w:rPr>
          <w:rFonts w:ascii="宋体" w:eastAsia="宋体" w:hAnsi="宋体" w:asciiTheme="minorEastAsia" w:eastAsiaTheme="minorEastAsia" w:hAnsiTheme="minorEastAsia" w:cs="Arial" w:cstheme="minorEastAsia" w:hint="eastAsia"/>
          <w:b/>
          <w:bCs/>
          <w:sz w:val="32"/>
          <w:szCs w:val="32"/>
          <w:lang w:val="en-US" w:eastAsia="zh-CN"/>
        </w:rPr>
      </w:pPr>
      <w:bookmarkStart w:id="6" w:name="bookmark24"/>
      <w:r>
        <w:rPr>
          <w:rFonts w:ascii="宋体" w:eastAsia="宋体" w:hAnsi="宋体" w:asciiTheme="minorEastAsia" w:eastAsiaTheme="minorEastAsia" w:hAnsiTheme="minorEastAsia" w:cs="Arial" w:cstheme="minorEastAsia" w:hint="eastAsia"/>
          <w:b/>
          <w:bCs/>
          <w:sz w:val="32"/>
          <w:szCs w:val="32"/>
          <w:lang w:val="en-US" w:eastAsia="zh-CN"/>
        </w:rPr>
        <w:t xml:space="preserve">二</w:t>
      </w:r>
      <w:bookmarkEnd w:id="6"/>
      <w:r>
        <w:rPr>
          <w:rFonts w:ascii="宋体" w:eastAsia="宋体" w:hAnsi="宋体" w:asciiTheme="minorEastAsia" w:eastAsiaTheme="minorEastAsia" w:hAnsiTheme="minorEastAsia" w:cs="Arial" w:cstheme="minorEastAsia" w:hint="eastAsia"/>
          <w:b/>
          <w:bCs/>
          <w:sz w:val="32"/>
          <w:szCs w:val="32"/>
          <w:lang w:val="en-US" w:eastAsia="zh-CN"/>
        </w:rPr>
        <w:t xml:space="preserve">、机构设置情况</w:t>
      </w:r>
    </w:p>
    <w:p>
      <w:pPr>
        <w:pStyle w:val="Bodytext|1"/>
        <w:spacing w:line="623" w:lineRule="exact"/>
        <w:ind w:left="0" w:firstLine="640" w:leftChars="0" w:firstLineChars="200"/>
        <w:jc w:val="left"/>
        <w:rPr>
          <w:rFonts w:ascii="宋体" w:eastAsia="宋体" w:hAnsi="宋体" w:asciiTheme="minorEastAsia" w:eastAsiaTheme="minorEastAsia" w:hAnsiTheme="minorEastAsia" w:cs="Arial" w:cstheme="minorEastAsia" w:hint="eastAsia"/>
          <w:sz w:val="32"/>
          <w:szCs w:val="32"/>
          <w:highlight w:val="yellow"/>
          <w:lang w:val="en-US" w:eastAsia="zh-CN"/>
        </w:rPr>
      </w:pP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我单位为财政全额拨款事业单位，核定编制人员9人，在编在岗人员7人，编外人员15人，编外人员中含政府购买服务岗位人员3人和聘用人员12人。在职人员及政府购买服务岗位人员工资和社会保险缴费单位部分的资金来源为财政全额拨款，编外聘用人员工资和社会保险缴费单位部分资金来源为国家市场监督管理局中国纤维质量监测中心按年度公检任务预拨的纤维公证检验经费及开展的其他辅助业务所得少量经费，预拨经费为专款专用，不得作为他用。</w:t>
      </w:r>
    </w:p>
    <w:p>
      <w:pPr>
        <w:pStyle w:val="Bodytext|1"/>
        <w:spacing w:line="623" w:lineRule="exact"/>
        <w:ind w:firstLine="1018" w:firstLineChars="0"/>
        <w:jc w:val="left"/>
        <w:rPr>
          <w:rFonts w:ascii="宋体" w:eastAsia="宋体" w:hAnsi="宋体" w:asciiTheme="minorEastAsia" w:eastAsiaTheme="minorEastAsia" w:hAnsiTheme="minorEastAsia" w:cs="Arial" w:cstheme="minorEastAsia" w:hint="eastAsia"/>
          <w:sz w:val="32"/>
          <w:szCs w:val="32"/>
          <w:highlight w:val="none"/>
          <w:lang w:val="en-US" w:eastAsia="zh-CN"/>
        </w:rPr>
      </w:pPr>
    </w:p>
    <w:p>
      <w:pPr>
        <w:pStyle w:val="Bodytext|1"/>
        <w:spacing w:line="623" w:lineRule="exact"/>
        <w:ind w:firstLine="1018" w:firstLineChars="0"/>
        <w:jc w:val="left"/>
        <w:rPr>
          <w:rFonts w:ascii="宋体" w:eastAsia="宋体" w:hAnsi="宋体" w:asciiTheme="minorEastAsia" w:eastAsiaTheme="minorEastAsia" w:hAnsiTheme="minorEastAsia" w:cs="Arial" w:cstheme="minorEastAsia" w:hint="eastAsia"/>
          <w:sz w:val="32"/>
          <w:szCs w:val="32"/>
          <w:highlight w:val="none"/>
          <w:lang w:val="en-US" w:eastAsia="zh-CN"/>
        </w:rPr>
      </w:pPr>
    </w:p>
    <w:p>
      <w:pPr>
        <w:rPr>
          <w:rFonts w:ascii="宋体" w:eastAsia="宋体" w:hAnsi="宋体" w:asciiTheme="minorEastAsia" w:eastAsiaTheme="minorEastAsia" w:hAnsiTheme="minorEastAsia" w:cs="Arial" w:cstheme="minorEastAsia" w:hint="eastAsia"/>
          <w:sz w:val="32"/>
          <w:szCs w:val="32"/>
        </w:rPr>
      </w:pPr>
      <w:r>
        <w:br w:type="page"/>
      </w:r>
    </w:p>
    <w:p>
      <w:pPr>
        <w:pStyle w:val="Heading#1|1"/>
        <w:keepNext/>
        <w:keepLines/>
        <w:pageBreakBefore w:val="0"/>
        <w:widowControl w:val="0"/>
        <w:kinsoku/>
        <w:wordWrap/>
        <w:overflowPunct/>
        <w:topLinePunct w:val="0"/>
        <w:autoSpaceDE/>
        <w:autoSpaceDN/>
        <w:bidi w:val="0"/>
        <w:adjustRightInd/>
        <w:snapToGrid/>
        <w:spacing w:before="120" w:after="0" w:line="600" w:lineRule="exact"/>
        <w:jc w:val="center"/>
        <w:textAlignment w:val="auto"/>
        <w:rPr>
          <w:rFonts w:ascii="黑体" w:eastAsia="黑体" w:hAnsi="黑体" w:cs="黑体" w:hint="eastAsia"/>
          <w:b w:val="0"/>
          <w:bCs w:val="0"/>
          <w:sz w:val="32"/>
          <w:szCs w:val="32"/>
        </w:rPr>
      </w:pPr>
      <w:bookmarkStart w:id="7" w:name="bookmark69"/>
      <w:bookmarkStart w:id="8" w:name="bookmark68"/>
      <w:bookmarkStart w:id="9" w:name="bookmark70"/>
      <w:bookmarkStart w:id="10" w:name="bookmark26"/>
      <w:bookmarkStart w:id="11" w:name="bookmark28"/>
      <w:bookmarkStart w:id="12" w:name="bookmark27"/>
      <w:r>
        <w:rPr>
          <w:rFonts w:ascii="黑体" w:eastAsia="黑体" w:hAnsi="黑体" w:cs="黑体" w:hint="eastAsia"/>
          <w:b w:val="0"/>
          <w:bCs w:val="0"/>
          <w:sz w:val="32"/>
          <w:szCs w:val="32"/>
        </w:rPr>
        <w:t xml:space="preserve">第</w:t>
      </w:r>
      <w:r>
        <w:rPr>
          <w:rFonts w:ascii="黑体" w:eastAsia="黑体" w:hAnsi="黑体" w:cs="黑体" w:hint="eastAsia"/>
          <w:b w:val="0"/>
          <w:bCs w:val="0"/>
          <w:sz w:val="32"/>
          <w:szCs w:val="32"/>
          <w:lang w:val="en-US" w:eastAsia="zh-CN"/>
        </w:rPr>
        <w:t xml:space="preserve">二</w:t>
      </w:r>
      <w:r>
        <w:rPr>
          <w:rFonts w:ascii="黑体" w:eastAsia="黑体" w:hAnsi="黑体" w:cs="黑体" w:hint="eastAsia"/>
          <w:b w:val="0"/>
          <w:bCs w:val="0"/>
          <w:sz w:val="32"/>
          <w:szCs w:val="32"/>
        </w:rPr>
        <w:t xml:space="preserve">部分</w:t>
      </w:r>
      <w:r>
        <w:rPr>
          <w:rFonts w:ascii="黑体" w:eastAsia="黑体" w:hAnsi="黑体" w:cs="黑体" w:hint="eastAsia"/>
          <w:b w:val="0"/>
          <w:bCs w:val="0"/>
          <w:sz w:val="32"/>
          <w:szCs w:val="32"/>
          <w:lang w:eastAsia="zh-CN"/>
        </w:rPr>
        <w:t xml:space="preserve">：</w:t>
      </w:r>
      <w:bookmarkEnd w:id="7"/>
      <w:bookmarkEnd w:id="8"/>
      <w:bookmarkEnd w:id="9"/>
      <w:r>
        <w:rPr>
          <w:rFonts w:ascii="黑体" w:eastAsia="黑体" w:hAnsi="黑体" w:cs="黑体" w:hint="eastAsia"/>
          <w:b w:val="0"/>
          <w:bCs w:val="0"/>
          <w:sz w:val="32"/>
          <w:szCs w:val="32"/>
          <w:lang w:eastAsia="zh-CN"/>
        </w:rPr>
        <w:t xml:space="preserve">河池市纤维检验所</w:t>
      </w:r>
      <w:r>
        <w:rPr>
          <w:rFonts w:ascii="黑体" w:eastAsia="黑体" w:hAnsi="黑体" w:cs="黑体"/>
          <w:sz w:val="32"/>
          <w:u w:color="auto"/>
        </w:rPr>
        <w:t xml:space="preserve">2024</w:t>
      </w:r>
      <w:r>
        <w:rPr>
          <w:rFonts w:ascii="黑体" w:eastAsia="黑体" w:hAnsi="黑体" w:cs="黑体"/>
          <w:sz w:val="32"/>
          <w:u w:color="auto"/>
        </w:rPr>
        <w:t xml:space="preserve">年部门预算情况说明</w:t>
      </w:r>
    </w:p>
    <w:p>
      <w:pPr>
        <w:pStyle w:val="Bodytext|2"/>
        <w:keepNext w:val="0"/>
        <w:keepLines w:val="0"/>
        <w:pageBreakBefore w:val="0"/>
        <w:widowControl w:val="0"/>
        <w:kinsoku/>
        <w:wordWrap/>
        <w:overflowPunct/>
        <w:topLinePunct w:val="0"/>
        <w:autoSpaceDE/>
        <w:autoSpaceDN/>
        <w:bidi w:val="0"/>
        <w:adjustRightInd/>
        <w:snapToGrid/>
        <w:spacing w:before="120" w:after="0" w:line="600" w:lineRule="exact"/>
        <w:ind w:firstLine="618"/>
        <w:jc w:val="left"/>
        <w:textAlignment w:val="auto"/>
        <w:rPr>
          <w:rFonts w:ascii="宋体" w:eastAsia="宋体" w:hAnsi="宋体" w:asciiTheme="minorEastAsia" w:eastAsiaTheme="minorEastAsia" w:hAnsiTheme="minorEastAsia" w:cs="Arial" w:cstheme="minorEastAsia" w:hint="eastAsia"/>
          <w:b/>
          <w:bCs/>
          <w:sz w:val="32"/>
          <w:szCs w:val="32"/>
          <w:lang w:val="en-US" w:eastAsia="zh-CN"/>
        </w:rPr>
      </w:pPr>
      <w:bookmarkStart w:id="13" w:name="bookmark71"/>
      <w:r>
        <w:rPr>
          <w:rFonts w:ascii="宋体" w:eastAsia="宋体" w:hAnsi="宋体" w:asciiTheme="minorEastAsia" w:eastAsiaTheme="minorEastAsia" w:hAnsiTheme="minorEastAsia" w:cs="Arial" w:cstheme="minorEastAsia" w:hint="eastAsia"/>
          <w:b/>
          <w:bCs/>
          <w:sz w:val="32"/>
          <w:szCs w:val="32"/>
          <w:lang w:val="en-US" w:eastAsia="zh-CN"/>
        </w:rPr>
        <w:t xml:space="preserve">一</w:t>
      </w:r>
      <w:bookmarkEnd w:id="13"/>
      <w:r>
        <w:rPr>
          <w:rFonts w:ascii="宋体" w:eastAsia="宋体" w:hAnsi="宋体" w:asciiTheme="minorEastAsia" w:eastAsiaTheme="minorEastAsia" w:hAnsiTheme="minorEastAsia" w:cs="Arial" w:cstheme="minorEastAsia" w:hint="eastAsia"/>
          <w:b/>
          <w:bCs/>
          <w:sz w:val="32"/>
          <w:szCs w:val="32"/>
          <w:lang w:val="en-US" w:eastAsia="zh-CN"/>
        </w:rPr>
        <w:t xml:space="preserve">、部门预算收支总体情况说明</w:t>
      </w:r>
    </w:p>
    <w:p>
      <w:pPr>
        <w:pStyle w:val="Bodytext|1"/>
        <w:keepNext w:val="0"/>
        <w:keepLines w:val="0"/>
        <w:pageBreakBefore w:val="0"/>
        <w:widowControl w:val="0"/>
        <w:kinsoku/>
        <w:wordWrap/>
        <w:overflowPunct/>
        <w:topLinePunct w:val="0"/>
        <w:autoSpaceDE/>
        <w:autoSpaceDN/>
        <w:bidi w:val="0"/>
        <w:adjustRightInd/>
        <w:snapToGrid/>
        <w:spacing w:line="600" w:lineRule="exact"/>
        <w:ind w:left="0" w:firstLine="640" w:leftChars="0" w:firstLineChars="200"/>
        <w:jc w:val="left"/>
        <w:textAlignment w:val="auto"/>
        <w:rPr>
          <w:rFonts w:ascii="宋体" w:eastAsia="宋体" w:hAnsi="宋体" w:asciiTheme="minorEastAsia" w:eastAsiaTheme="minorEastAsia" w:hAnsiTheme="minorEastAsia" w:cs="Arial" w:cstheme="minorEastAsia" w:hint="eastAsia"/>
          <w:b/>
          <w:bCs/>
          <w:sz w:val="32"/>
          <w:szCs w:val="32"/>
          <w:lang w:val="en-US" w:eastAsia="zh-CN"/>
        </w:rPr>
      </w:pPr>
      <w:r>
        <w:rPr>
          <w:rFonts w:ascii="宋体" w:eastAsia="宋体" w:hAnsi="宋体" w:asciiTheme="minorEastAsia" w:eastAsiaTheme="minorEastAsia" w:hAnsiTheme="minorEastAsia" w:cs="Arial" w:cstheme="minorEastAsia" w:hint="eastAsia"/>
          <w:b w:val="0"/>
          <w:bCs w:val="0"/>
          <w:sz w:val="32"/>
          <w:szCs w:val="32"/>
        </w:rPr>
        <w:t xml:space="preserve">我部门总收入</w:t>
      </w:r>
      <w:r>
        <w:rPr>
          <w:rFonts w:ascii="宋体" w:eastAsia="宋体" w:hAnsi="宋体" w:asciiTheme="minorEastAsia" w:eastAsiaTheme="minorEastAsia" w:hAnsiTheme="minorEastAsia" w:cs="Arial" w:cstheme="minorEastAsia" w:hint="eastAsia"/>
          <w:sz w:val="32"/>
          <w:szCs w:val="32"/>
          <w:lang w:val="en-US" w:eastAsia="zh-CN"/>
        </w:rPr>
        <w:t xml:space="preserve">113.11</w:t>
      </w:r>
      <w:r>
        <w:rPr>
          <w:rFonts w:ascii="宋体" w:eastAsia="宋体" w:hAnsi="宋体" w:asciiTheme="minorEastAsia" w:eastAsiaTheme="minorEastAsia" w:hAnsiTheme="minorEastAsia" w:cs="Arial" w:cstheme="minorEastAsia" w:hint="eastAsia"/>
          <w:b w:val="0"/>
          <w:bCs w:val="0"/>
          <w:sz w:val="32"/>
          <w:szCs w:val="32"/>
        </w:rPr>
        <w:t xml:space="preserve">万元，总支出</w:t>
      </w:r>
      <w:r>
        <w:rPr>
          <w:rFonts w:ascii="宋体" w:eastAsia="宋体" w:hAnsi="宋体" w:asciiTheme="minorEastAsia" w:eastAsiaTheme="minorEastAsia" w:hAnsiTheme="minorEastAsia" w:cs="Arial" w:cstheme="minorEastAsia" w:hint="eastAsia"/>
          <w:sz w:val="32"/>
          <w:szCs w:val="32"/>
          <w:lang w:val="en-US" w:eastAsia="zh-CN"/>
        </w:rPr>
        <w:t xml:space="preserve">113.11</w:t>
      </w:r>
      <w:r>
        <w:rPr>
          <w:rFonts w:ascii="宋体" w:eastAsia="宋体" w:hAnsi="宋体" w:asciiTheme="minorEastAsia" w:eastAsiaTheme="minorEastAsia" w:hAnsiTheme="minorEastAsia" w:cs="Arial" w:cstheme="minorEastAsia" w:hint="eastAsia"/>
          <w:b w:val="0"/>
          <w:bCs w:val="0"/>
          <w:sz w:val="32"/>
          <w:szCs w:val="32"/>
        </w:rPr>
        <w:t xml:space="preserve">万元。总收入较2023年度预算数</w:t>
      </w:r>
      <w:r>
        <w:rPr>
          <w:rFonts w:ascii="宋体" w:eastAsia="宋体" w:hAnsi="宋体" w:asciiTheme="minorEastAsia" w:eastAsiaTheme="minorEastAsia" w:hAnsiTheme="minorEastAsia" w:cs="Arial" w:cstheme="minorEastAsia" w:hint="eastAsia"/>
          <w:sz w:val="32"/>
          <w:szCs w:val="32"/>
          <w:lang w:val="en-US" w:eastAsia="zh-CN"/>
        </w:rPr>
        <w:t xml:space="preserve">140.01</w:t>
      </w:r>
      <w:r>
        <w:rPr>
          <w:rFonts w:ascii="宋体" w:eastAsia="宋体" w:hAnsi="宋体" w:asciiTheme="minorEastAsia" w:eastAsiaTheme="minorEastAsia" w:hAnsiTheme="minorEastAsia" w:cs="Arial" w:cstheme="minorEastAsia" w:hint="eastAsia"/>
          <w:b w:val="0"/>
          <w:bCs w:val="0"/>
          <w:sz w:val="32"/>
          <w:szCs w:val="32"/>
        </w:rPr>
        <w:t xml:space="preserve">万元，</w:t>
      </w:r>
      <w:r>
        <w:rPr>
          <w:rFonts w:ascii="宋体" w:eastAsia="宋体" w:hAnsi="宋体" w:asciiTheme="minorEastAsia" w:eastAsiaTheme="minorEastAsia" w:hAnsiTheme="minorEastAsia" w:cs="Arial" w:cstheme="minorEastAsia" w:hint="eastAsia"/>
          <w:sz w:val="32"/>
          <w:szCs w:val="32"/>
        </w:rPr>
        <w:t xml:space="preserve">减少26.90</w:t>
      </w:r>
      <w:r>
        <w:rPr>
          <w:rFonts w:ascii="宋体" w:eastAsia="宋体" w:hAnsi="宋体" w:asciiTheme="minorEastAsia" w:eastAsiaTheme="minorEastAsia" w:hAnsiTheme="minorEastAsia" w:cs="Arial" w:cstheme="minorEastAsia" w:hint="eastAsia"/>
          <w:b w:val="0"/>
          <w:bCs w:val="0"/>
          <w:sz w:val="32"/>
          <w:szCs w:val="32"/>
        </w:rPr>
        <w:t xml:space="preserve">万元，</w:t>
      </w:r>
      <w:r>
        <w:rPr>
          <w:rFonts w:ascii="宋体" w:eastAsia="宋体" w:hAnsi="宋体" w:asciiTheme="minorEastAsia" w:eastAsiaTheme="minorEastAsia" w:hAnsiTheme="minorEastAsia" w:cs="Arial" w:cstheme="minorEastAsia" w:hint="eastAsia"/>
          <w:sz w:val="32"/>
          <w:szCs w:val="32"/>
        </w:rPr>
        <w:t xml:space="preserve">下降19.21%</w:t>
      </w:r>
      <w:r>
        <w:rPr>
          <w:rFonts w:ascii="宋体" w:eastAsia="宋体" w:hAnsi="宋体" w:asciiTheme="minorEastAsia" w:eastAsiaTheme="minorEastAsia" w:hAnsiTheme="minorEastAsia" w:cs="Arial" w:cstheme="minorEastAsia" w:hint="eastAsia"/>
          <w:b w:val="0"/>
          <w:bCs w:val="0"/>
          <w:sz w:val="32"/>
          <w:szCs w:val="32"/>
        </w:rPr>
        <w:t xml:space="preserve">，主要原因是</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较上年减少奖励性绩效科目预算；23年6月一名在职人员调出，9月公开招聘一名在职人员，在职人员工资福利支出增加及社会保障支出基数增加</w:t>
      </w:r>
      <w:r>
        <w:rPr>
          <w:rFonts w:ascii="宋体" w:eastAsia="宋体" w:hAnsi="宋体" w:asciiTheme="minorEastAsia" w:eastAsiaTheme="minorEastAsia" w:hAnsiTheme="minorEastAsia" w:cs="Arial" w:cstheme="minorEastAsia" w:hint="eastAsia"/>
          <w:b w:val="0"/>
          <w:bCs w:val="0"/>
          <w:sz w:val="32"/>
          <w:szCs w:val="32"/>
        </w:rPr>
        <w:t xml:space="preserve">。总支出较2023年度预算数</w:t>
      </w:r>
      <w:r>
        <w:rPr>
          <w:rFonts w:ascii="宋体" w:eastAsia="宋体" w:hAnsi="宋体" w:asciiTheme="minorEastAsia" w:eastAsiaTheme="minorEastAsia" w:hAnsiTheme="minorEastAsia" w:cs="Arial" w:cstheme="minorEastAsia" w:hint="eastAsia"/>
          <w:sz w:val="32"/>
          <w:szCs w:val="32"/>
          <w:lang w:val="en-US" w:eastAsia="zh-CN"/>
        </w:rPr>
        <w:t xml:space="preserve">140.01</w:t>
      </w:r>
      <w:r>
        <w:rPr>
          <w:rFonts w:ascii="宋体" w:eastAsia="宋体" w:hAnsi="宋体" w:asciiTheme="minorEastAsia" w:eastAsiaTheme="minorEastAsia" w:hAnsiTheme="minorEastAsia" w:cs="Arial" w:cstheme="minorEastAsia" w:hint="eastAsia"/>
          <w:b w:val="0"/>
          <w:bCs w:val="0"/>
          <w:sz w:val="32"/>
          <w:szCs w:val="32"/>
        </w:rPr>
        <w:t xml:space="preserve">万元，</w:t>
      </w:r>
      <w:r>
        <w:rPr>
          <w:rFonts w:ascii="宋体" w:eastAsia="宋体" w:hAnsi="宋体" w:asciiTheme="minorEastAsia" w:eastAsiaTheme="minorEastAsia" w:hAnsiTheme="minorEastAsia" w:cs="Arial" w:cstheme="minorEastAsia" w:hint="eastAsia"/>
          <w:sz w:val="32"/>
          <w:szCs w:val="32"/>
        </w:rPr>
        <w:t xml:space="preserve">减少26.90</w:t>
      </w:r>
      <w:r>
        <w:rPr>
          <w:rFonts w:ascii="宋体" w:eastAsia="宋体" w:hAnsi="宋体" w:asciiTheme="minorEastAsia" w:eastAsiaTheme="minorEastAsia" w:hAnsiTheme="minorEastAsia" w:cs="Arial" w:cstheme="minorEastAsia" w:hint="eastAsia"/>
          <w:b w:val="0"/>
          <w:bCs w:val="0"/>
          <w:sz w:val="32"/>
          <w:szCs w:val="32"/>
        </w:rPr>
        <w:t xml:space="preserve">万元，</w:t>
      </w:r>
      <w:r>
        <w:rPr>
          <w:rFonts w:ascii="宋体" w:eastAsia="宋体" w:hAnsi="宋体" w:asciiTheme="minorEastAsia" w:eastAsiaTheme="minorEastAsia" w:hAnsiTheme="minorEastAsia" w:cs="Arial" w:cstheme="minorEastAsia" w:hint="eastAsia"/>
          <w:sz w:val="32"/>
          <w:szCs w:val="32"/>
        </w:rPr>
        <w:t xml:space="preserve">下降19.21%</w:t>
      </w:r>
      <w:r>
        <w:rPr>
          <w:rFonts w:ascii="宋体" w:eastAsia="宋体" w:hAnsi="宋体" w:asciiTheme="minorEastAsia" w:eastAsiaTheme="minorEastAsia" w:hAnsiTheme="minorEastAsia" w:cs="Arial" w:cstheme="minorEastAsia" w:hint="eastAsia"/>
          <w:b w:val="0"/>
          <w:bCs w:val="0"/>
          <w:sz w:val="32"/>
          <w:szCs w:val="32"/>
        </w:rPr>
        <w:t xml:space="preserve">，主要原因是</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较上年减少奖励性绩效科目预算；23年6月一名在职人员调出，9月公开招聘一名在职人员，在职人员工资福利支出增加及社会保障支出基数增加</w:t>
      </w:r>
      <w:r>
        <w:rPr>
          <w:rFonts w:ascii="宋体" w:eastAsia="宋体" w:hAnsi="宋体" w:asciiTheme="minorEastAsia" w:eastAsiaTheme="minorEastAsia" w:hAnsiTheme="minorEastAsia" w:cs="Arial" w:cstheme="minorEastAsia" w:hint="eastAsia"/>
          <w:b w:val="0"/>
          <w:bCs w:val="0"/>
          <w:sz w:val="32"/>
          <w:szCs w:val="32"/>
        </w:rPr>
        <w:t xml:space="preserve">。</w:t>
      </w:r>
    </w:p>
    <w:p>
      <w:pPr>
        <w:pStyle w:val="Bodytext|2"/>
        <w:keepNext w:val="0"/>
        <w:keepLines w:val="0"/>
        <w:pageBreakBefore w:val="0"/>
        <w:widowControl w:val="0"/>
        <w:kinsoku/>
        <w:wordWrap/>
        <w:overflowPunct/>
        <w:topLinePunct w:val="0"/>
        <w:autoSpaceDE/>
        <w:autoSpaceDN/>
        <w:bidi w:val="0"/>
        <w:adjustRightInd/>
        <w:snapToGrid/>
        <w:spacing w:before="120" w:after="0" w:line="600" w:lineRule="exact"/>
        <w:ind w:firstLine="618"/>
        <w:jc w:val="left"/>
        <w:textAlignment w:val="auto"/>
        <w:rPr>
          <w:rFonts w:ascii="宋体" w:eastAsia="宋体" w:hAnsi="宋体" w:asciiTheme="minorEastAsia" w:eastAsiaTheme="minorEastAsia" w:hAnsiTheme="minorEastAsia" w:cs="Arial" w:cstheme="minorEastAsia" w:hint="eastAsia"/>
          <w:b/>
          <w:bCs/>
          <w:sz w:val="32"/>
          <w:szCs w:val="32"/>
          <w:lang w:val="en-US" w:eastAsia="zh-CN"/>
        </w:rPr>
      </w:pPr>
      <w:r>
        <w:rPr>
          <w:rFonts w:ascii="宋体" w:eastAsia="宋体" w:hAnsi="宋体" w:asciiTheme="minorEastAsia" w:eastAsiaTheme="minorEastAsia" w:hAnsiTheme="minorEastAsia" w:cs="Arial" w:cstheme="minorEastAsia" w:hint="eastAsia"/>
          <w:b/>
          <w:bCs/>
          <w:sz w:val="32"/>
          <w:szCs w:val="32"/>
          <w:lang w:val="en-US" w:eastAsia="zh-CN"/>
        </w:rPr>
        <w:t xml:space="preserve">二、部门收入总体情况说明</w:t>
      </w:r>
    </w:p>
    <w:p>
      <w:pPr>
        <w:pStyle w:val="Bodytext|1"/>
        <w:spacing w:line="240" w:lineRule="auto"/>
        <w:ind w:firstLine="0"/>
        <w:jc w:val="left"/>
        <w:rPr>
          <w:rFonts w:ascii="宋体" w:eastAsia="宋体" w:hAnsi="宋体" w:asciiTheme="minorEastAsia" w:eastAsiaTheme="minorEastAsia" w:hAnsiTheme="minorEastAsia" w:cs="Arial" w:cstheme="minorEastAsia" w:hint="eastAsia"/>
          <w:sz w:val="32"/>
          <w:szCs w:val="32"/>
          <w:lang w:val="en-US" w:eastAsia="zh-CN"/>
        </w:rPr>
      </w:pPr>
      <w:r>
        <w:rPr>
          <w:rFonts w:ascii="宋体" w:eastAsia="宋体" w:hAnsi="宋体" w:asciiTheme="minorEastAsia" w:eastAsiaTheme="minorEastAsia" w:hAnsiTheme="minorEastAsia" w:cs="Arial" w:cstheme="minorEastAsia" w:hint="eastAsia"/>
          <w:sz w:val="32"/>
          <w:szCs w:val="32"/>
          <w:lang w:val="en-US" w:eastAsia="zh-CN"/>
        </w:rPr>
        <w:drawing>
          <wp:inline distT="0" distB="0" distL="114300" distR="114300">
            <wp:extent cx="4257040" cy="3139440"/>
            <wp:effectExtent l="4445" t="4445" r="5715" b="18415"/>
            <wp:docPr id="10538" name="图表 6" title="{{img_rs_table}}"/>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r:id="rId8"/>
              </a:graphicData>
            </a:graphic>
          </wp:inline>
        </w:drawing>
      </w:r>
    </w:p>
    <w:p>
      <w:pPr>
        <w:pStyle w:val="Bodytext|1"/>
        <w:keepNext w:val="0"/>
        <w:keepLines w:val="0"/>
        <w:pageBreakBefore w:val="0"/>
        <w:widowControl w:val="0"/>
        <w:kinsoku/>
        <w:wordWrap/>
        <w:overflowPunct/>
        <w:topLinePunct w:val="0"/>
        <w:autoSpaceDE/>
        <w:autoSpaceDN/>
        <w:bidi w:val="0"/>
        <w:adjustRightInd/>
        <w:snapToGrid/>
        <w:spacing w:line="600" w:lineRule="exact"/>
        <w:ind w:left="0" w:firstLine="640" w:leftChars="0" w:firstLineChars="200"/>
        <w:jc w:val="left"/>
        <w:textAlignment w:val="auto"/>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u w:color="auto"/>
          <w:lang w:eastAsia="zh-CN"/>
        </w:rPr>
        <w:t xml:space="preserve">2024</w:t>
      </w:r>
      <w:r>
        <w:rPr>
          <w:rFonts w:ascii="宋体" w:eastAsia="宋体" w:hAnsi="宋体" w:asciiTheme="minorEastAsia" w:eastAsiaTheme="minorEastAsia" w:hAnsiTheme="minorEastAsia" w:cs="Arial" w:cstheme="minorEastAsia" w:hint="eastAsia"/>
          <w:sz w:val="32"/>
          <w:szCs w:val="32"/>
          <w:u w:color="auto"/>
        </w:rPr>
        <w:t xml:space="preserve">年我部门总收入</w:t>
      </w:r>
      <w:r>
        <w:rPr>
          <w:rFonts w:ascii="宋体" w:eastAsia="宋体" w:hAnsi="宋体" w:asciiTheme="minorEastAsia" w:eastAsiaTheme="minorEastAsia" w:hAnsiTheme="minorEastAsia" w:cs="Arial" w:cstheme="minorEastAsia" w:hint="eastAsia"/>
          <w:sz w:val="32"/>
          <w:szCs w:val="32"/>
          <w:lang w:val="en-US" w:eastAsia="zh-CN"/>
        </w:rPr>
        <w:t xml:space="preserve">113.11</w:t>
      </w:r>
      <w:r>
        <w:rPr>
          <w:rFonts w:ascii="宋体" w:eastAsia="宋体" w:hAnsi="宋体" w:asciiTheme="minorEastAsia" w:eastAsiaTheme="minorEastAsia" w:hAnsiTheme="minorEastAsia" w:cs="Arial" w:cstheme="minorEastAsia" w:hint="eastAsia"/>
          <w:sz w:val="32"/>
          <w:szCs w:val="32"/>
          <w:u w:color="auto"/>
        </w:rPr>
        <w:t xml:space="preserve">万元，较2023年度预算数</w:t>
      </w:r>
      <w:r>
        <w:rPr>
          <w:rFonts w:ascii="宋体" w:eastAsia="宋体" w:hAnsi="宋体" w:asciiTheme="minorEastAsia" w:eastAsiaTheme="minorEastAsia" w:hAnsiTheme="minorEastAsia" w:cs="Arial" w:cstheme="minorEastAsia" w:hint="eastAsia"/>
          <w:sz w:val="32"/>
          <w:szCs w:val="32"/>
          <w:lang w:val="en-US" w:eastAsia="zh-CN"/>
        </w:rPr>
        <w:t xml:space="preserve">140.01</w:t>
      </w:r>
      <w:r>
        <w:rPr>
          <w:rFonts w:ascii="宋体" w:eastAsia="宋体" w:hAnsi="宋体" w:asciiTheme="minorEastAsia" w:eastAsiaTheme="minorEastAsia" w:hAnsiTheme="minorEastAsia" w:cs="Arial" w:cstheme="minorEastAsia" w:hint="eastAsia"/>
          <w:sz w:val="32"/>
          <w:szCs w:val="32"/>
          <w:u w:color="auto"/>
        </w:rPr>
        <w:t xml:space="preserve">万元，</w:t>
      </w:r>
      <w:r>
        <w:rPr>
          <w:rFonts w:ascii="宋体" w:eastAsia="宋体" w:hAnsi="宋体" w:asciiTheme="minorEastAsia" w:eastAsiaTheme="minorEastAsia" w:hAnsiTheme="minorEastAsia" w:cs="Arial" w:cstheme="minorEastAsia" w:hint="eastAsia"/>
          <w:sz w:val="32"/>
          <w:szCs w:val="32"/>
        </w:rPr>
        <w:t xml:space="preserve">减少26.90</w:t>
      </w:r>
      <w:r>
        <w:rPr>
          <w:rFonts w:ascii="宋体" w:eastAsia="宋体" w:hAnsi="宋体" w:asciiTheme="minorEastAsia" w:eastAsiaTheme="minorEastAsia" w:hAnsiTheme="minorEastAsia" w:cs="Arial" w:cstheme="minorEastAsia" w:hint="eastAsia"/>
          <w:sz w:val="32"/>
          <w:szCs w:val="32"/>
          <w:u w:color="auto"/>
        </w:rPr>
        <w:t xml:space="preserve">万元，</w:t>
      </w:r>
      <w:r>
        <w:rPr>
          <w:rFonts w:ascii="宋体" w:eastAsia="宋体" w:hAnsi="宋体" w:asciiTheme="minorEastAsia" w:eastAsiaTheme="minorEastAsia" w:hAnsiTheme="minorEastAsia" w:cs="Arial" w:cstheme="minorEastAsia" w:hint="eastAsia"/>
          <w:sz w:val="32"/>
          <w:szCs w:val="32"/>
        </w:rPr>
        <w:t xml:space="preserve">下降19.21%</w:t>
      </w:r>
      <w:r>
        <w:rPr>
          <w:rFonts w:ascii="宋体" w:eastAsia="宋体" w:hAnsi="宋体" w:asciiTheme="minorEastAsia" w:eastAsiaTheme="minorEastAsia" w:hAnsiTheme="minorEastAsia" w:cs="Arial" w:cstheme="minorEastAsia" w:hint="eastAsia"/>
          <w:sz w:val="32"/>
          <w:szCs w:val="32"/>
          <w:u w:color="auto"/>
        </w:rPr>
        <w:t xml:space="preserve">，主要原因是</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较上年减少奖励性绩效科目预算；23年6月一名在职人员调出，9月公开招聘一名在职人员，在职人员工资福利支出增加及社会保障支出基数增加</w:t>
      </w:r>
      <w:r>
        <w:rPr>
          <w:rFonts w:ascii="宋体" w:eastAsia="宋体" w:hAnsi="宋体" w:asciiTheme="minorEastAsia" w:eastAsiaTheme="minorEastAsia" w:hAnsiTheme="minorEastAsia" w:cs="Arial" w:cstheme="minorEastAsia" w:hint="eastAsia"/>
          <w:sz w:val="32"/>
          <w:szCs w:val="32"/>
          <w:u w:color="auto"/>
        </w:rPr>
        <w:t xml:space="preserve">。</w:t>
      </w:r>
    </w:p>
    <w:p>
      <w:pPr>
        <w:pStyle w:val="Bodytext|2"/>
        <w:keepNext w:val="0"/>
        <w:keepLines w:val="0"/>
        <w:pageBreakBefore w:val="0"/>
        <w:widowControl w:val="0"/>
        <w:kinsoku/>
        <w:wordWrap/>
        <w:overflowPunct/>
        <w:topLinePunct w:val="0"/>
        <w:autoSpaceDE/>
        <w:autoSpaceDN/>
        <w:bidi w:val="0"/>
        <w:adjustRightInd/>
        <w:snapToGrid/>
        <w:spacing w:before="120" w:after="0" w:line="600" w:lineRule="exact"/>
        <w:ind w:firstLine="618"/>
        <w:jc w:val="left"/>
        <w:textAlignment w:val="auto"/>
        <w:rPr>
          <w:rFonts w:ascii="宋体" w:eastAsia="宋体" w:hAnsi="宋体" w:asciiTheme="minorEastAsia" w:eastAsiaTheme="minorEastAsia" w:hAnsiTheme="minorEastAsia" w:cs="Arial" w:cstheme="minorEastAsia" w:hint="eastAsia"/>
          <w:b/>
          <w:bCs/>
          <w:sz w:val="32"/>
          <w:szCs w:val="32"/>
          <w:lang w:val="en-US" w:eastAsia="zh-CN"/>
        </w:rPr>
      </w:pPr>
      <w:r>
        <w:rPr>
          <w:rFonts w:ascii="宋体" w:eastAsia="宋体" w:hAnsi="宋体" w:asciiTheme="minorEastAsia" w:eastAsiaTheme="minorEastAsia" w:hAnsiTheme="minorEastAsia" w:cs="Arial" w:cstheme="minorEastAsia" w:hint="eastAsia"/>
          <w:b/>
          <w:bCs/>
          <w:sz w:val="32"/>
          <w:szCs w:val="32"/>
          <w:lang w:val="en-US" w:eastAsia="zh-CN"/>
        </w:rPr>
        <w:t xml:space="preserve">三、部门支出总体情况说明</w:t>
      </w:r>
    </w:p>
    <w:p>
      <w:pPr>
        <w:pStyle w:val="Bodytext|1"/>
        <w:spacing w:line="240" w:lineRule="auto"/>
        <w:ind w:firstLine="0"/>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drawing>
          <wp:inline distT="0" distB="0" distL="114300" distR="114300">
            <wp:extent cx="5080000" cy="3810000"/>
            <wp:effectExtent l="4445" t="4445" r="20955" b="14605"/>
            <wp:docPr id="10539" name="图表 14" title="{{img_gnkm_zc_data}}"/>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r:id="rId9"/>
              </a:graphicData>
            </a:graphic>
          </wp:inline>
        </w:drawing>
      </w:r>
    </w:p>
    <w:p>
      <w:pPr>
        <w:pStyle w:val="Bodytext|1"/>
        <w:keepNext w:val="0"/>
        <w:keepLines w:val="0"/>
        <w:pageBreakBefore w:val="0"/>
        <w:widowControl w:val="0"/>
        <w:kinsoku/>
        <w:wordWrap/>
        <w:overflowPunct/>
        <w:topLinePunct w:val="0"/>
        <w:autoSpaceDE/>
        <w:autoSpaceDN/>
        <w:bidi w:val="0"/>
        <w:adjustRightInd/>
        <w:snapToGrid/>
        <w:spacing w:line="600" w:lineRule="exact"/>
        <w:ind w:left="0" w:firstLine="640" w:leftChars="0" w:firstLineChars="200"/>
        <w:jc w:val="left"/>
        <w:textAlignment w:val="auto"/>
        <w:rPr>
          <w:rFonts w:ascii="宋体" w:eastAsia="宋体" w:hAnsi="宋体" w:asciiTheme="minorEastAsia" w:eastAsiaTheme="minorEastAsia" w:hAnsiTheme="minorEastAsia" w:cs="Arial" w:cstheme="minorEastAsia" w:hint="eastAsia"/>
          <w:sz w:val="32"/>
          <w:szCs w:val="32"/>
          <w:lang w:eastAsia="zh-CN"/>
        </w:rPr>
      </w:pPr>
      <w:r>
        <w:rPr>
          <w:rFonts w:ascii="宋体" w:eastAsia="宋体" w:hAnsi="宋体" w:asciiTheme="minorEastAsia" w:eastAsiaTheme="minorEastAsia" w:hAnsiTheme="minorEastAsia" w:cs="Arial" w:cstheme="minorEastAsia" w:hint="eastAsia"/>
          <w:sz w:val="32"/>
          <w:szCs w:val="32"/>
          <w:lang w:eastAsia="zh-CN"/>
        </w:rPr>
        <w:t xml:space="preserve">2024</w:t>
      </w:r>
      <w:r>
        <w:rPr>
          <w:sz w:val="32"/>
          <w:u w:color="auto"/>
        </w:rPr>
        <w:t xml:space="preserve">年我部门总支出</w:t>
      </w:r>
      <w:r>
        <w:rPr>
          <w:rFonts w:ascii="宋体" w:eastAsia="宋体" w:hAnsi="宋体" w:asciiTheme="minorEastAsia" w:eastAsiaTheme="minorEastAsia" w:hAnsiTheme="minorEastAsia" w:cs="Arial" w:cstheme="minorEastAsia" w:hint="eastAsia"/>
          <w:sz w:val="32"/>
          <w:szCs w:val="32"/>
          <w:lang w:val="en-US" w:eastAsia="zh-CN"/>
        </w:rPr>
        <w:t xml:space="preserve">113.11</w:t>
      </w:r>
      <w:r>
        <w:rPr>
          <w:rFonts w:ascii="宋体" w:eastAsia="宋体" w:hAnsi="宋体" w:asciiTheme="minorEastAsia" w:eastAsiaTheme="minorEastAsia" w:hAnsiTheme="minorEastAsia" w:cs="Arial" w:cstheme="minorEastAsia" w:hint="eastAsia"/>
          <w:sz w:val="32"/>
          <w:szCs w:val="32"/>
          <w:lang w:eastAsia="zh-CN"/>
        </w:rPr>
        <w:t xml:space="preserve">万元，较2023年度预算数</w:t>
      </w:r>
      <w:r>
        <w:rPr>
          <w:rFonts w:ascii="宋体" w:eastAsia="宋体" w:hAnsi="宋体" w:asciiTheme="minorEastAsia" w:eastAsiaTheme="minorEastAsia" w:hAnsiTheme="minorEastAsia" w:cs="Arial" w:cstheme="minorEastAsia" w:hint="eastAsia"/>
          <w:sz w:val="32"/>
          <w:szCs w:val="32"/>
          <w:lang w:val="en-US" w:eastAsia="zh-CN"/>
        </w:rPr>
        <w:t xml:space="preserve">140.01</w:t>
      </w:r>
      <w:r>
        <w:rPr>
          <w:rFonts w:ascii="宋体" w:eastAsia="宋体" w:hAnsi="宋体" w:asciiTheme="minorEastAsia" w:eastAsiaTheme="minorEastAsia" w:hAnsiTheme="minorEastAsia" w:cs="Arial" w:cstheme="minorEastAsia" w:hint="eastAsia"/>
          <w:sz w:val="32"/>
          <w:szCs w:val="32"/>
          <w:lang w:eastAsia="zh-CN"/>
        </w:rPr>
        <w:t xml:space="preserve">万元，</w:t>
      </w:r>
      <w:r>
        <w:rPr>
          <w:rFonts w:ascii="宋体" w:eastAsia="宋体" w:hAnsi="宋体" w:asciiTheme="minorEastAsia" w:eastAsiaTheme="minorEastAsia" w:hAnsiTheme="minorEastAsia" w:cs="Arial" w:cstheme="minorEastAsia" w:hint="eastAsia"/>
          <w:sz w:val="32"/>
          <w:szCs w:val="32"/>
        </w:rPr>
        <w:t xml:space="preserve">减少26.90</w:t>
      </w:r>
      <w:r>
        <w:rPr>
          <w:rFonts w:ascii="宋体" w:eastAsia="宋体" w:hAnsi="宋体" w:asciiTheme="minorEastAsia" w:eastAsiaTheme="minorEastAsia" w:hAnsiTheme="minorEastAsia" w:cs="Arial" w:cstheme="minorEastAsia" w:hint="eastAsia"/>
          <w:sz w:val="32"/>
          <w:szCs w:val="32"/>
          <w:lang w:eastAsia="zh-CN"/>
        </w:rPr>
        <w:t xml:space="preserve">万元，</w:t>
      </w:r>
      <w:r>
        <w:rPr>
          <w:rFonts w:ascii="宋体" w:eastAsia="宋体" w:hAnsi="宋体" w:asciiTheme="minorEastAsia" w:eastAsiaTheme="minorEastAsia" w:hAnsiTheme="minorEastAsia" w:cs="Arial" w:cstheme="minorEastAsia" w:hint="eastAsia"/>
          <w:sz w:val="32"/>
          <w:szCs w:val="32"/>
        </w:rPr>
        <w:t xml:space="preserve">下降19.21%</w:t>
      </w:r>
      <w:r>
        <w:rPr>
          <w:rFonts w:ascii="宋体" w:eastAsia="宋体" w:hAnsi="宋体" w:asciiTheme="minorEastAsia" w:eastAsiaTheme="minorEastAsia" w:hAnsiTheme="minorEastAsia" w:cs="Arial" w:cstheme="minorEastAsia" w:hint="eastAsia"/>
          <w:sz w:val="32"/>
          <w:szCs w:val="32"/>
          <w:lang w:eastAsia="zh-CN"/>
        </w:rPr>
        <w:t xml:space="preserve">，主要原因是</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较上年减少奖励性绩效科目预算；23年6月一名在职人员调出，9月公开招聘一名在职人员，在职人员工资福利支出增加及社会保障支出基数增加</w:t>
      </w:r>
      <w:r>
        <w:rPr>
          <w:rFonts w:ascii="宋体" w:eastAsia="宋体" w:hAnsi="宋体" w:asciiTheme="minorEastAsia" w:eastAsiaTheme="minorEastAsia" w:hAnsiTheme="minorEastAsia" w:cs="Arial" w:cstheme="minorEastAsia" w:hint="eastAsia"/>
          <w:sz w:val="32"/>
          <w:szCs w:val="32"/>
          <w:lang w:eastAsia="zh-CN"/>
        </w:rPr>
        <w:t xml:space="preserve">。主要包括：</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较上年减少奖励性绩效科目预算；23年6月一名在职人员调出，9月公开招聘一名在职人员，在职人员工资福利支出增加及社会保障支出基数增加</w:t>
      </w:r>
      <w:r>
        <w:rPr>
          <w:rFonts w:ascii="宋体" w:eastAsia="宋体" w:hAnsi="宋体" w:asciiTheme="minorEastAsia" w:eastAsiaTheme="minorEastAsia" w:hAnsiTheme="minorEastAsia" w:cs="Arial" w:cstheme="minorEastAsia" w:hint="eastAsia"/>
          <w:sz w:val="32"/>
          <w:szCs w:val="32"/>
          <w:lang w:eastAsia="zh-CN"/>
        </w:rPr>
        <w:t xml:space="preserve">。</w:t>
      </w:r>
    </w:p>
    <w:p>
      <w:pPr>
        <w:pStyle w:val="Bodytext|1"/>
        <w:keepNext w:val="0"/>
        <w:keepLines w:val="0"/>
        <w:pageBreakBefore w:val="0"/>
        <w:widowControl w:val="0"/>
        <w:kinsoku/>
        <w:wordWrap/>
        <w:overflowPunct/>
        <w:topLinePunct w:val="0"/>
        <w:autoSpaceDE/>
        <w:autoSpaceDN/>
        <w:bidi w:val="0"/>
        <w:adjustRightInd/>
        <w:snapToGrid/>
        <w:spacing w:after="140" w:line="600" w:lineRule="exact"/>
        <w:ind w:firstLine="0"/>
        <w:jc w:val="left"/>
        <w:textAlignment w:val="auto"/>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（一）按支出功能分类科目划分，共分为</w:t>
      </w:r>
      <w:r>
        <w:rPr>
          <w:rFonts w:ascii="宋体" w:eastAsia="宋体" w:hAnsi="宋体" w:asciiTheme="minorEastAsia" w:eastAsiaTheme="minorEastAsia" w:hAnsiTheme="minorEastAsia" w:cs="Arial" w:cstheme="minorEastAsia" w:hint="eastAsia"/>
          <w:sz w:val="32"/>
          <w:szCs w:val="32"/>
          <w:lang w:val="en-US" w:eastAsia="zh-CN"/>
        </w:rPr>
        <w:t xml:space="preserve">4</w:t>
      </w:r>
      <w:r>
        <w:rPr>
          <w:rFonts w:ascii="宋体" w:eastAsia="宋体" w:hAnsi="宋体" w:asciiTheme="minorEastAsia" w:eastAsiaTheme="minorEastAsia" w:hAnsiTheme="minorEastAsia" w:cs="Arial" w:cstheme="minorEastAsia" w:hint="eastAsia"/>
          <w:sz w:val="32"/>
          <w:szCs w:val="32"/>
        </w:rPr>
        <w:t xml:space="preserve">类，其中:</w:t>
      </w:r>
    </w:p>
    <w:p>
      <w:pPr>
        <w:pStyle w:val="Bodytext|1"/>
        <w:keepNext w:val="0"/>
        <w:keepLines w:val="0"/>
        <w:pageBreakBefore w:val="0"/>
        <w:widowControl w:val="0"/>
        <w:kinsoku/>
        <w:wordWrap/>
        <w:overflowPunct/>
        <w:topLinePunct w:val="0"/>
        <w:autoSpaceDE/>
        <w:autoSpaceDN/>
        <w:bidi w:val="0"/>
        <w:adjustRightInd/>
        <w:snapToGrid/>
        <w:spacing w:line="600" w:lineRule="exact"/>
        <w:ind w:left="0" w:firstLine="640" w:leftChars="0" w:firstLineChars="200"/>
        <w:jc w:val="left"/>
        <w:textAlignment w:val="auto"/>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w:t>
      </w:r>
      <w:r>
        <w:rPr>
          <w:sz w:val="32"/>
          <w:u w:color="auto"/>
        </w:rPr>
        <w:t xml:space="preserve">1</w:t>
      </w:r>
      <w:r>
        <w:rPr>
          <w:sz w:val="32"/>
          <w:u w:color="auto"/>
        </w:rPr>
        <w:t xml:space="preserve">)</w:t>
      </w:r>
      <w:r>
        <w:rPr>
          <w:sz w:val="32"/>
          <w:u w:color="auto"/>
        </w:rPr>
        <w:t xml:space="preserve">一般公共服务支出</w:t>
      </w:r>
      <w:r>
        <w:rPr>
          <w:rFonts w:ascii="宋体" w:eastAsia="宋体" w:hAnsi="宋体" w:asciiTheme="minorEastAsia" w:eastAsiaTheme="minorEastAsia" w:hAnsiTheme="minorEastAsia" w:cs="Arial" w:cstheme="minorEastAsia" w:hint="eastAsia"/>
          <w:sz w:val="32"/>
          <w:szCs w:val="32"/>
          <w:lang w:val="en-US" w:eastAsia="zh-CN"/>
        </w:rPr>
        <w:t xml:space="preserve">72.25</w:t>
      </w:r>
      <w:r>
        <w:rPr>
          <w:rFonts w:ascii="宋体" w:eastAsia="宋体" w:hAnsi="宋体" w:asciiTheme="minorEastAsia" w:eastAsiaTheme="minorEastAsia" w:hAnsiTheme="minorEastAsia" w:cs="Arial" w:cstheme="minorEastAsia" w:hint="eastAsia"/>
          <w:sz w:val="32"/>
          <w:szCs w:val="32"/>
        </w:rPr>
        <w:t xml:space="preserve">万元，占支出总预算</w:t>
      </w:r>
      <w:r>
        <w:rPr>
          <w:rFonts w:ascii="宋体" w:eastAsia="宋体" w:hAnsi="宋体" w:asciiTheme="minorEastAsia" w:eastAsiaTheme="minorEastAsia" w:hAnsiTheme="minorEastAsia" w:cs="Arial" w:cstheme="minorEastAsia" w:hint="eastAsia"/>
          <w:sz w:val="32"/>
          <w:szCs w:val="32"/>
          <w:lang w:val="en-US" w:eastAsia="zh-CN"/>
        </w:rPr>
        <w:t xml:space="preserve">63.88%</w:t>
      </w:r>
      <w:r>
        <w:rPr>
          <w:rFonts w:ascii="宋体" w:eastAsia="宋体" w:hAnsi="宋体" w:asciiTheme="minorEastAsia" w:eastAsiaTheme="minorEastAsia" w:hAnsiTheme="minorEastAsia" w:cs="Arial" w:cstheme="minorEastAsia" w:hint="eastAsia"/>
          <w:sz w:val="32"/>
          <w:szCs w:val="32"/>
        </w:rPr>
        <w:t xml:space="preserve">,比上年</w:t>
      </w:r>
      <w:r>
        <w:rPr>
          <w:rFonts w:ascii="宋体" w:eastAsia="宋体" w:hAnsi="宋体" w:asciiTheme="minorEastAsia" w:eastAsiaTheme="minorEastAsia" w:hAnsiTheme="minorEastAsia" w:cs="Arial" w:cstheme="minorEastAsia" w:hint="eastAsia"/>
          <w:sz w:val="32"/>
          <w:szCs w:val="32"/>
          <w:lang w:val="en-US" w:eastAsia="zh-CN"/>
        </w:rPr>
        <w:t xml:space="preserve">减少29.97</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val="en-US" w:eastAsia="zh-CN"/>
        </w:rPr>
        <w:t xml:space="preserve">下降29.32%</w:t>
      </w:r>
      <w:r>
        <w:rPr>
          <w:rFonts w:ascii="宋体" w:eastAsia="宋体" w:hAnsi="宋体" w:asciiTheme="minorEastAsia" w:eastAsiaTheme="minorEastAsia" w:hAnsiTheme="minorEastAsia" w:cs="Arial" w:cstheme="minorEastAsia" w:hint="eastAsia"/>
          <w:sz w:val="32"/>
          <w:szCs w:val="32"/>
        </w:rPr>
        <w:t xml:space="preserve">,</w:t>
      </w:r>
      <w:r>
        <w:rPr>
          <w:rFonts w:ascii="宋体" w:eastAsia="宋体" w:hAnsi="宋体" w:asciiTheme="minorEastAsia" w:eastAsiaTheme="minorEastAsia" w:hAnsiTheme="minorEastAsia" w:cs="Arial" w:cstheme="minorEastAsia" w:hint="eastAsia"/>
          <w:sz w:val="32"/>
          <w:szCs w:val="32"/>
          <w:highlight w:val="none"/>
        </w:rPr>
        <w:t xml:space="preserve">主要原因是：</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较上年减少奖励性绩效科目预算；23年6月一名在职人员调出，9月公开招聘一名在职人员，在职人员工资增加及社会保障支出基数增加</w:t>
      </w:r>
      <w:r>
        <w:rPr>
          <w:rFonts w:ascii="宋体" w:eastAsia="宋体" w:hAnsi="宋体" w:asciiTheme="minorEastAsia" w:eastAsiaTheme="minorEastAsia" w:hAnsiTheme="minorEastAsia" w:cs="Arial" w:cstheme="minorEastAsia" w:hint="eastAsia"/>
          <w:sz w:val="32"/>
          <w:szCs w:val="32"/>
          <w:highlight w:val="none"/>
        </w:rPr>
        <w:t xml:space="preserve">。</w:t>
      </w:r>
    </w:p>
    <w:p>
      <w:pPr>
        <w:pStyle w:val="Bodytext|1"/>
        <w:keepNext w:val="0"/>
        <w:keepLines w:val="0"/>
        <w:pageBreakBefore w:val="0"/>
        <w:widowControl w:val="0"/>
        <w:kinsoku/>
        <w:wordWrap/>
        <w:overflowPunct/>
        <w:topLinePunct w:val="0"/>
        <w:autoSpaceDE/>
        <w:autoSpaceDN/>
        <w:bidi w:val="0"/>
        <w:adjustRightInd/>
        <w:snapToGrid/>
        <w:spacing w:line="600" w:lineRule="exact"/>
        <w:ind w:left="0" w:firstLine="640" w:leftChars="0" w:firstLineChars="200"/>
        <w:jc w:val="left"/>
        <w:textAlignment w:val="auto"/>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w:t>
      </w:r>
      <w:r>
        <w:rPr>
          <w:sz w:val="32"/>
          <w:u w:color="auto"/>
        </w:rPr>
        <w:t xml:space="preserve">2</w:t>
      </w:r>
      <w:r>
        <w:rPr>
          <w:sz w:val="32"/>
          <w:u w:color="auto"/>
        </w:rPr>
        <w:t xml:space="preserve">)</w:t>
      </w:r>
      <w:r>
        <w:rPr>
          <w:sz w:val="32"/>
          <w:u w:color="auto"/>
        </w:rPr>
        <w:t xml:space="preserve">社会保障和就业支出</w:t>
      </w:r>
      <w:r>
        <w:rPr>
          <w:rFonts w:ascii="宋体" w:eastAsia="宋体" w:hAnsi="宋体" w:asciiTheme="minorEastAsia" w:eastAsiaTheme="minorEastAsia" w:hAnsiTheme="minorEastAsia" w:cs="Arial" w:cstheme="minorEastAsia" w:hint="eastAsia"/>
          <w:sz w:val="32"/>
          <w:szCs w:val="32"/>
          <w:lang w:val="en-US" w:eastAsia="zh-CN"/>
        </w:rPr>
        <w:t xml:space="preserve">21.12</w:t>
      </w:r>
      <w:r>
        <w:rPr>
          <w:rFonts w:ascii="宋体" w:eastAsia="宋体" w:hAnsi="宋体" w:asciiTheme="minorEastAsia" w:eastAsiaTheme="minorEastAsia" w:hAnsiTheme="minorEastAsia" w:cs="Arial" w:cstheme="minorEastAsia" w:hint="eastAsia"/>
          <w:sz w:val="32"/>
          <w:szCs w:val="32"/>
        </w:rPr>
        <w:t xml:space="preserve">万元，占支出总预算</w:t>
      </w:r>
      <w:r>
        <w:rPr>
          <w:rFonts w:ascii="宋体" w:eastAsia="宋体" w:hAnsi="宋体" w:asciiTheme="minorEastAsia" w:eastAsiaTheme="minorEastAsia" w:hAnsiTheme="minorEastAsia" w:cs="Arial" w:cstheme="minorEastAsia" w:hint="eastAsia"/>
          <w:sz w:val="32"/>
          <w:szCs w:val="32"/>
          <w:lang w:val="en-US" w:eastAsia="zh-CN"/>
        </w:rPr>
        <w:t xml:space="preserve">18.67%</w:t>
      </w:r>
      <w:r>
        <w:rPr>
          <w:rFonts w:ascii="宋体" w:eastAsia="宋体" w:hAnsi="宋体" w:asciiTheme="minorEastAsia" w:eastAsiaTheme="minorEastAsia" w:hAnsiTheme="minorEastAsia" w:cs="Arial" w:cstheme="minorEastAsia" w:hint="eastAsia"/>
          <w:sz w:val="32"/>
          <w:szCs w:val="32"/>
        </w:rPr>
        <w:t xml:space="preserve">,比上年</w:t>
      </w:r>
      <w:r>
        <w:rPr>
          <w:rFonts w:ascii="宋体" w:eastAsia="宋体" w:hAnsi="宋体" w:asciiTheme="minorEastAsia" w:eastAsiaTheme="minorEastAsia" w:hAnsiTheme="minorEastAsia" w:cs="Arial" w:cstheme="minorEastAsia" w:hint="eastAsia"/>
          <w:sz w:val="32"/>
          <w:szCs w:val="32"/>
          <w:lang w:val="en-US" w:eastAsia="zh-CN"/>
        </w:rPr>
        <w:t xml:space="preserve">增加1.57</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val="en-US" w:eastAsia="zh-CN"/>
        </w:rPr>
        <w:t xml:space="preserve">增长8.03%</w:t>
      </w:r>
      <w:r>
        <w:rPr>
          <w:rFonts w:ascii="宋体" w:eastAsia="宋体" w:hAnsi="宋体" w:asciiTheme="minorEastAsia" w:eastAsiaTheme="minorEastAsia" w:hAnsiTheme="minorEastAsia" w:cs="Arial" w:cstheme="minorEastAsia" w:hint="eastAsia"/>
          <w:sz w:val="32"/>
          <w:szCs w:val="32"/>
        </w:rPr>
        <w:t xml:space="preserve">,</w:t>
      </w:r>
      <w:r>
        <w:rPr>
          <w:rFonts w:ascii="宋体" w:eastAsia="宋体" w:hAnsi="宋体" w:asciiTheme="minorEastAsia" w:eastAsiaTheme="minorEastAsia" w:hAnsiTheme="minorEastAsia" w:cs="Arial" w:cstheme="minorEastAsia" w:hint="eastAsia"/>
          <w:sz w:val="32"/>
          <w:szCs w:val="32"/>
          <w:highlight w:val="none"/>
        </w:rPr>
        <w:t xml:space="preserve">主要原因是：</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23年6月一名在职人员调出，9月公开招聘一名在职人员，在职人员工资增加及社会保障支出基数增加</w:t>
      </w:r>
      <w:r>
        <w:rPr>
          <w:rFonts w:ascii="宋体" w:eastAsia="宋体" w:hAnsi="宋体" w:asciiTheme="minorEastAsia" w:eastAsiaTheme="minorEastAsia" w:hAnsiTheme="minorEastAsia" w:cs="Arial" w:cstheme="minorEastAsia" w:hint="eastAsia"/>
          <w:sz w:val="32"/>
          <w:szCs w:val="32"/>
          <w:highlight w:val="none"/>
        </w:rPr>
        <w:t xml:space="preserve">。</w:t>
      </w:r>
    </w:p>
    <w:p>
      <w:pPr>
        <w:pStyle w:val="Bodytext|1"/>
        <w:keepNext w:val="0"/>
        <w:keepLines w:val="0"/>
        <w:pageBreakBefore w:val="0"/>
        <w:widowControl w:val="0"/>
        <w:kinsoku/>
        <w:wordWrap/>
        <w:overflowPunct/>
        <w:topLinePunct w:val="0"/>
        <w:autoSpaceDE/>
        <w:autoSpaceDN/>
        <w:bidi w:val="0"/>
        <w:adjustRightInd/>
        <w:snapToGrid/>
        <w:spacing w:line="600" w:lineRule="exact"/>
        <w:ind w:left="0" w:firstLine="640" w:leftChars="0" w:firstLineChars="200"/>
        <w:jc w:val="left"/>
        <w:textAlignment w:val="auto"/>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w:t>
      </w:r>
      <w:r>
        <w:rPr>
          <w:sz w:val="32"/>
          <w:u w:color="auto"/>
        </w:rPr>
        <w:t xml:space="preserve">3</w:t>
      </w:r>
      <w:r>
        <w:rPr>
          <w:sz w:val="32"/>
          <w:u w:color="auto"/>
        </w:rPr>
        <w:t xml:space="preserve">)</w:t>
      </w:r>
      <w:r>
        <w:rPr>
          <w:sz w:val="32"/>
          <w:u w:color="auto"/>
        </w:rPr>
        <w:t xml:space="preserve">卫生健康支出</w:t>
      </w:r>
      <w:r>
        <w:rPr>
          <w:rFonts w:ascii="宋体" w:eastAsia="宋体" w:hAnsi="宋体" w:asciiTheme="minorEastAsia" w:eastAsiaTheme="minorEastAsia" w:hAnsiTheme="minorEastAsia" w:cs="Arial" w:cstheme="minorEastAsia" w:hint="eastAsia"/>
          <w:sz w:val="32"/>
          <w:szCs w:val="32"/>
          <w:lang w:val="en-US" w:eastAsia="zh-CN"/>
        </w:rPr>
        <w:t xml:space="preserve">9.40</w:t>
      </w:r>
      <w:r>
        <w:rPr>
          <w:rFonts w:ascii="宋体" w:eastAsia="宋体" w:hAnsi="宋体" w:asciiTheme="minorEastAsia" w:eastAsiaTheme="minorEastAsia" w:hAnsiTheme="minorEastAsia" w:cs="Arial" w:cstheme="minorEastAsia" w:hint="eastAsia"/>
          <w:sz w:val="32"/>
          <w:szCs w:val="32"/>
        </w:rPr>
        <w:t xml:space="preserve">万元，占支出总预算</w:t>
      </w:r>
      <w:r>
        <w:rPr>
          <w:rFonts w:ascii="宋体" w:eastAsia="宋体" w:hAnsi="宋体" w:asciiTheme="minorEastAsia" w:eastAsiaTheme="minorEastAsia" w:hAnsiTheme="minorEastAsia" w:cs="Arial" w:cstheme="minorEastAsia" w:hint="eastAsia"/>
          <w:sz w:val="32"/>
          <w:szCs w:val="32"/>
          <w:lang w:val="en-US" w:eastAsia="zh-CN"/>
        </w:rPr>
        <w:t xml:space="preserve">8.31%</w:t>
      </w:r>
      <w:r>
        <w:rPr>
          <w:rFonts w:ascii="宋体" w:eastAsia="宋体" w:hAnsi="宋体" w:asciiTheme="minorEastAsia" w:eastAsiaTheme="minorEastAsia" w:hAnsiTheme="minorEastAsia" w:cs="Arial" w:cstheme="minorEastAsia" w:hint="eastAsia"/>
          <w:sz w:val="32"/>
          <w:szCs w:val="32"/>
        </w:rPr>
        <w:t xml:space="preserve">,比上年</w:t>
      </w:r>
      <w:r>
        <w:rPr>
          <w:rFonts w:ascii="宋体" w:eastAsia="宋体" w:hAnsi="宋体" w:asciiTheme="minorEastAsia" w:eastAsiaTheme="minorEastAsia" w:hAnsiTheme="minorEastAsia" w:cs="Arial" w:cstheme="minorEastAsia" w:hint="eastAsia"/>
          <w:sz w:val="32"/>
          <w:szCs w:val="32"/>
          <w:lang w:val="en-US" w:eastAsia="zh-CN"/>
        </w:rPr>
        <w:t xml:space="preserve">增加0.73</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val="en-US" w:eastAsia="zh-CN"/>
        </w:rPr>
        <w:t xml:space="preserve">增长8.42%</w:t>
      </w:r>
      <w:r>
        <w:rPr>
          <w:rFonts w:ascii="宋体" w:eastAsia="宋体" w:hAnsi="宋体" w:asciiTheme="minorEastAsia" w:eastAsiaTheme="minorEastAsia" w:hAnsiTheme="minorEastAsia" w:cs="Arial" w:cstheme="minorEastAsia" w:hint="eastAsia"/>
          <w:sz w:val="32"/>
          <w:szCs w:val="32"/>
        </w:rPr>
        <w:t xml:space="preserve">,</w:t>
      </w:r>
      <w:r>
        <w:rPr>
          <w:rFonts w:ascii="宋体" w:eastAsia="宋体" w:hAnsi="宋体" w:asciiTheme="minorEastAsia" w:eastAsiaTheme="minorEastAsia" w:hAnsiTheme="minorEastAsia" w:cs="Arial" w:cstheme="minorEastAsia" w:hint="eastAsia"/>
          <w:sz w:val="32"/>
          <w:szCs w:val="32"/>
          <w:highlight w:val="none"/>
        </w:rPr>
        <w:t xml:space="preserve">主要原因是：</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23年6月一名在职人员调出，9月公开招聘一名在职人员，在职人员工资增加及社会保障支出基数增加</w:t>
      </w:r>
      <w:r>
        <w:rPr>
          <w:rFonts w:ascii="宋体" w:eastAsia="宋体" w:hAnsi="宋体" w:asciiTheme="minorEastAsia" w:eastAsiaTheme="minorEastAsia" w:hAnsiTheme="minorEastAsia" w:cs="Arial" w:cstheme="minorEastAsia" w:hint="eastAsia"/>
          <w:sz w:val="32"/>
          <w:szCs w:val="32"/>
          <w:highlight w:val="none"/>
        </w:rPr>
        <w:t xml:space="preserve">。</w:t>
      </w:r>
    </w:p>
    <w:p>
      <w:pPr>
        <w:pStyle w:val="Bodytext|1"/>
        <w:keepNext w:val="0"/>
        <w:keepLines w:val="0"/>
        <w:pageBreakBefore w:val="0"/>
        <w:widowControl w:val="0"/>
        <w:kinsoku/>
        <w:wordWrap/>
        <w:overflowPunct/>
        <w:topLinePunct w:val="0"/>
        <w:autoSpaceDE/>
        <w:autoSpaceDN/>
        <w:bidi w:val="0"/>
        <w:adjustRightInd/>
        <w:snapToGrid/>
        <w:spacing w:line="600" w:lineRule="exact"/>
        <w:ind w:left="0" w:firstLine="640" w:leftChars="0" w:firstLineChars="200"/>
        <w:jc w:val="left"/>
        <w:textAlignment w:val="auto"/>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w:t>
      </w:r>
      <w:r>
        <w:rPr>
          <w:sz w:val="32"/>
          <w:u w:color="auto"/>
        </w:rPr>
        <w:t xml:space="preserve">4</w:t>
      </w:r>
      <w:r>
        <w:rPr>
          <w:sz w:val="32"/>
          <w:u w:color="auto"/>
        </w:rPr>
        <w:t xml:space="preserve">)</w:t>
      </w:r>
      <w:r>
        <w:rPr>
          <w:sz w:val="32"/>
          <w:u w:color="auto"/>
        </w:rPr>
        <w:t xml:space="preserve">住房保障支出</w:t>
      </w:r>
      <w:r>
        <w:rPr>
          <w:rFonts w:ascii="宋体" w:eastAsia="宋体" w:hAnsi="宋体" w:asciiTheme="minorEastAsia" w:eastAsiaTheme="minorEastAsia" w:hAnsiTheme="minorEastAsia" w:cs="Arial" w:cstheme="minorEastAsia" w:hint="eastAsia"/>
          <w:sz w:val="32"/>
          <w:szCs w:val="32"/>
          <w:lang w:val="en-US" w:eastAsia="zh-CN"/>
        </w:rPr>
        <w:t xml:space="preserve">10.34</w:t>
      </w:r>
      <w:r>
        <w:rPr>
          <w:rFonts w:ascii="宋体" w:eastAsia="宋体" w:hAnsi="宋体" w:asciiTheme="minorEastAsia" w:eastAsiaTheme="minorEastAsia" w:hAnsiTheme="minorEastAsia" w:cs="Arial" w:cstheme="minorEastAsia" w:hint="eastAsia"/>
          <w:sz w:val="32"/>
          <w:szCs w:val="32"/>
        </w:rPr>
        <w:t xml:space="preserve">万元，占支出总预算</w:t>
      </w:r>
      <w:r>
        <w:rPr>
          <w:rFonts w:ascii="宋体" w:eastAsia="宋体" w:hAnsi="宋体" w:asciiTheme="minorEastAsia" w:eastAsiaTheme="minorEastAsia" w:hAnsiTheme="minorEastAsia" w:cs="Arial" w:cstheme="minorEastAsia" w:hint="eastAsia"/>
          <w:sz w:val="32"/>
          <w:szCs w:val="32"/>
          <w:lang w:val="en-US" w:eastAsia="zh-CN"/>
        </w:rPr>
        <w:t xml:space="preserve">9.14%</w:t>
      </w:r>
      <w:r>
        <w:rPr>
          <w:rFonts w:ascii="宋体" w:eastAsia="宋体" w:hAnsi="宋体" w:asciiTheme="minorEastAsia" w:eastAsiaTheme="minorEastAsia" w:hAnsiTheme="minorEastAsia" w:cs="Arial" w:cstheme="minorEastAsia" w:hint="eastAsia"/>
          <w:sz w:val="32"/>
          <w:szCs w:val="32"/>
        </w:rPr>
        <w:t xml:space="preserve">,比上年</w:t>
      </w:r>
      <w:r>
        <w:rPr>
          <w:rFonts w:ascii="宋体" w:eastAsia="宋体" w:hAnsi="宋体" w:asciiTheme="minorEastAsia" w:eastAsiaTheme="minorEastAsia" w:hAnsiTheme="minorEastAsia" w:cs="Arial" w:cstheme="minorEastAsia" w:hint="eastAsia"/>
          <w:sz w:val="32"/>
          <w:szCs w:val="32"/>
          <w:lang w:val="en-US" w:eastAsia="zh-CN"/>
        </w:rPr>
        <w:t xml:space="preserve">增加0.77</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val="en-US" w:eastAsia="zh-CN"/>
        </w:rPr>
        <w:t xml:space="preserve">增长8.05%</w:t>
      </w:r>
      <w:r>
        <w:rPr>
          <w:rFonts w:ascii="宋体" w:eastAsia="宋体" w:hAnsi="宋体" w:asciiTheme="minorEastAsia" w:eastAsiaTheme="minorEastAsia" w:hAnsiTheme="minorEastAsia" w:cs="Arial" w:cstheme="minorEastAsia" w:hint="eastAsia"/>
          <w:sz w:val="32"/>
          <w:szCs w:val="32"/>
        </w:rPr>
        <w:t xml:space="preserve">,</w:t>
      </w:r>
      <w:r>
        <w:rPr>
          <w:rFonts w:ascii="宋体" w:eastAsia="宋体" w:hAnsi="宋体" w:asciiTheme="minorEastAsia" w:eastAsiaTheme="minorEastAsia" w:hAnsiTheme="minorEastAsia" w:cs="Arial" w:cstheme="minorEastAsia" w:hint="eastAsia"/>
          <w:sz w:val="32"/>
          <w:szCs w:val="32"/>
          <w:highlight w:val="none"/>
        </w:rPr>
        <w:t xml:space="preserve">主要原因是：</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23年6月一名在职人员调出，9月公开招聘一名在职人员，在职人员工资增加及社会保障支出基数增加</w:t>
      </w:r>
      <w:r>
        <w:rPr>
          <w:rFonts w:ascii="宋体" w:eastAsia="宋体" w:hAnsi="宋体" w:asciiTheme="minorEastAsia" w:eastAsiaTheme="minorEastAsia" w:hAnsiTheme="minorEastAsia" w:cs="Arial" w:cstheme="minorEastAsia" w:hint="eastAsia"/>
          <w:sz w:val="32"/>
          <w:szCs w:val="32"/>
          <w:highlight w:val="none"/>
        </w:rPr>
        <w:t xml:space="preserve">。</w:t>
      </w:r>
    </w:p>
    <w:p>
      <w:pPr>
        <w:pStyle w:val="Bodytext|1"/>
        <w:keepNext w:val="0"/>
        <w:keepLines w:val="0"/>
        <w:pageBreakBefore w:val="0"/>
        <w:widowControl w:val="0"/>
        <w:kinsoku/>
        <w:wordWrap/>
        <w:overflowPunct/>
        <w:topLinePunct w:val="0"/>
        <w:autoSpaceDE/>
        <w:autoSpaceDN/>
        <w:bidi w:val="0"/>
        <w:adjustRightInd/>
        <w:snapToGrid/>
        <w:spacing w:line="600" w:lineRule="exact"/>
        <w:ind w:firstLine="740"/>
        <w:jc w:val="left"/>
        <w:textAlignment w:val="auto"/>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(二)按支出结构分类划分，分为基本支出预算和项目支出预算。</w:t>
      </w:r>
    </w:p>
    <w:p>
      <w:pPr>
        <w:pStyle w:val="Bodytext|1"/>
        <w:keepNext w:val="0"/>
        <w:keepLines w:val="0"/>
        <w:pageBreakBefore w:val="0"/>
        <w:widowControl w:val="0"/>
        <w:numPr>
          <w:ilvl w:val="0"/>
          <w:numId w:val="3"/>
        </w:numPr>
        <w:kinsoku/>
        <w:wordWrap/>
        <w:overflowPunct/>
        <w:topLinePunct w:val="0"/>
        <w:autoSpaceDE/>
        <w:autoSpaceDN/>
        <w:bidi w:val="0"/>
        <w:adjustRightInd/>
        <w:snapToGrid/>
        <w:spacing w:line="600" w:lineRule="exact"/>
        <w:ind w:left="0" w:firstLine="640" w:leftChars="0" w:firstLineChars="200"/>
        <w:jc w:val="left"/>
        <w:textAlignment w:val="auto"/>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基本支出预算。</w:t>
      </w:r>
    </w:p>
    <w:p>
      <w:pPr>
        <w:pStyle w:val="Bodytext|1"/>
        <w:keepNext w:val="0"/>
        <w:keepLines w:val="0"/>
        <w:pageBreakBefore w:val="0"/>
        <w:widowControl w:val="0"/>
        <w:kinsoku/>
        <w:wordWrap/>
        <w:overflowPunct/>
        <w:topLinePunct w:val="0"/>
        <w:autoSpaceDE/>
        <w:autoSpaceDN/>
        <w:bidi w:val="0"/>
        <w:adjustRightInd/>
        <w:snapToGrid/>
        <w:spacing w:line="600" w:lineRule="exact"/>
        <w:ind w:firstLine="600"/>
        <w:jc w:val="left"/>
        <w:textAlignment w:val="auto"/>
        <w:rPr>
          <w:rFonts w:ascii="宋体" w:eastAsia="宋体" w:hAnsi="宋体" w:asciiTheme="minorEastAsia" w:eastAsiaTheme="minorEastAsia" w:hAnsiTheme="minorEastAsia" w:cs="Arial" w:cstheme="minorEastAsia" w:hint="eastAsia"/>
          <w:sz w:val="32"/>
          <w:szCs w:val="32"/>
          <w:lang w:val="en-US" w:eastAsia="zh-CN"/>
        </w:rPr>
      </w:pPr>
      <w:r>
        <w:rPr>
          <w:rFonts w:ascii="宋体" w:eastAsia="宋体" w:hAnsi="宋体" w:asciiTheme="minorEastAsia" w:eastAsiaTheme="minorEastAsia" w:hAnsiTheme="minorEastAsia" w:cs="Arial" w:cstheme="minorEastAsia" w:hint="eastAsia"/>
          <w:sz w:val="32"/>
          <w:szCs w:val="32"/>
        </w:rPr>
        <w:t xml:space="preserve">基本支出预算</w:t>
      </w:r>
      <w:r>
        <w:rPr>
          <w:rFonts w:ascii="宋体" w:eastAsia="宋体" w:hAnsi="宋体" w:asciiTheme="minorEastAsia" w:eastAsiaTheme="minorEastAsia" w:hAnsiTheme="minorEastAsia" w:cs="Arial" w:cstheme="minorEastAsia" w:hint="eastAsia"/>
          <w:sz w:val="32"/>
          <w:szCs w:val="32"/>
          <w:lang w:val="en-US" w:eastAsia="zh-CN"/>
        </w:rPr>
        <w:t xml:space="preserve">103.11</w:t>
      </w:r>
      <w:r>
        <w:rPr>
          <w:rFonts w:ascii="宋体" w:eastAsia="宋体" w:hAnsi="宋体" w:asciiTheme="minorEastAsia" w:eastAsiaTheme="minorEastAsia" w:hAnsiTheme="minorEastAsia" w:cs="Arial" w:cstheme="minorEastAsia" w:hint="eastAsia"/>
          <w:sz w:val="32"/>
          <w:szCs w:val="32"/>
        </w:rPr>
        <w:t xml:space="preserve">万元，占支出预算</w:t>
      </w:r>
      <w:r>
        <w:rPr>
          <w:sz w:val="32"/>
          <w:u w:color="auto"/>
        </w:rPr>
        <w:t xml:space="preserve">91.16%</w:t>
      </w:r>
      <w:r>
        <w:rPr>
          <w:sz w:val="32"/>
          <w:u w:color="auto"/>
        </w:rPr>
        <w:t xml:space="preserve">,比上年</w:t>
      </w:r>
      <w:r>
        <w:rPr>
          <w:sz w:val="32"/>
          <w:u w:color="auto"/>
        </w:rPr>
        <w:t xml:space="preserve">减少26.90</w:t>
      </w:r>
      <w:r>
        <w:rPr>
          <w:sz w:val="32"/>
          <w:u w:color="auto"/>
        </w:rPr>
        <w:t xml:space="preserve">万元，</w:t>
      </w:r>
      <w:r>
        <w:rPr>
          <w:sz w:val="32"/>
          <w:u w:color="auto"/>
        </w:rPr>
        <w:t xml:space="preserve">下降20.69%</w:t>
      </w:r>
      <w:r>
        <w:rPr>
          <w:rFonts w:ascii="宋体" w:eastAsia="宋体" w:hAnsi="宋体" w:asciiTheme="minorEastAsia" w:eastAsiaTheme="minorEastAsia" w:hAnsiTheme="minorEastAsia" w:cs="Arial" w:cstheme="minorEastAsia" w:hint="eastAsia"/>
          <w:sz w:val="32"/>
          <w:szCs w:val="32"/>
        </w:rPr>
        <w:t xml:space="preserve">。</w:t>
      </w:r>
      <w:r>
        <w:rPr>
          <w:rFonts w:ascii="宋体" w:eastAsia="宋体" w:hAnsi="宋体" w:asciiTheme="minorEastAsia" w:eastAsiaTheme="minorEastAsia" w:hAnsiTheme="minorEastAsia" w:cs="Arial" w:cstheme="minorEastAsia" w:hint="eastAsia"/>
          <w:sz w:val="32"/>
          <w:szCs w:val="32"/>
          <w:lang w:val="en-US" w:eastAsia="zh-CN"/>
        </w:rPr>
        <w:t xml:space="preserve">其中：</w:t>
      </w:r>
    </w:p>
    <w:p>
      <w:pPr>
        <w:pStyle w:val="Bodytext|3"/>
        <w:keepNext w:val="0"/>
        <w:keepLines w:val="0"/>
        <w:pageBreakBefore w:val="0"/>
        <w:widowControl w:val="0"/>
        <w:kinsoku/>
        <w:wordWrap/>
        <w:overflowPunct/>
        <w:topLinePunct w:val="0"/>
        <w:autoSpaceDE/>
        <w:autoSpaceDN/>
        <w:bidi w:val="0"/>
        <w:adjustRightInd/>
        <w:snapToGrid/>
        <w:spacing w:after="0" w:line="600" w:lineRule="exact"/>
        <w:ind w:firstLine="740"/>
        <w:jc w:val="left"/>
        <w:textAlignment w:val="auto"/>
        <w:rPr>
          <w:rFonts w:ascii="宋体" w:eastAsia="宋体" w:hAnsi="宋体" w:asciiTheme="minorEastAsia" w:eastAsiaTheme="minorEastAsia" w:hAnsiTheme="minorEastAsia" w:cs="Arial" w:cstheme="minorEastAsia" w:hint="eastAsia"/>
          <w:sz w:val="32"/>
          <w:szCs w:val="32"/>
          <w:lang w:val="en-US" w:eastAsia="zh-CN"/>
        </w:rPr>
      </w:pPr>
      <w:r>
        <w:rPr>
          <w:rFonts w:ascii="宋体" w:eastAsia="宋体" w:hAnsi="宋体" w:asciiTheme="minorEastAsia" w:eastAsiaTheme="minorEastAsia" w:hAnsiTheme="minorEastAsia" w:cs="Arial" w:cstheme="minorEastAsia" w:hint="eastAsia"/>
          <w:sz w:val="32"/>
          <w:szCs w:val="32"/>
        </w:rPr>
        <w:t xml:space="preserve">(</w:t>
      </w:r>
      <w:r>
        <w:rPr>
          <w:sz w:val="32"/>
          <w:u w:color="auto"/>
        </w:rPr>
        <w:t xml:space="preserve">1</w:t>
      </w:r>
      <w:r>
        <w:rPr>
          <w:sz w:val="32"/>
          <w:u w:color="auto"/>
        </w:rPr>
        <w:t xml:space="preserve">)</w:t>
      </w:r>
      <w:r>
        <w:rPr>
          <w:sz w:val="32"/>
          <w:u w:color="auto"/>
        </w:rPr>
        <w:t xml:space="preserve">工资福利支出</w:t>
      </w:r>
      <w:r>
        <w:rPr>
          <w:rFonts w:ascii="宋体" w:eastAsia="宋体" w:hAnsi="宋体" w:asciiTheme="minorEastAsia" w:eastAsiaTheme="minorEastAsia" w:hAnsiTheme="minorEastAsia" w:cs="Arial" w:cstheme="minorEastAsia" w:hint="eastAsia"/>
          <w:sz w:val="32"/>
          <w:szCs w:val="32"/>
          <w:lang w:val="en-US" w:eastAsia="zh-CN"/>
        </w:rPr>
        <w:t xml:space="preserve">101.30</w:t>
      </w:r>
      <w:r>
        <w:rPr>
          <w:rFonts w:ascii="宋体" w:eastAsia="宋体" w:hAnsi="宋体" w:asciiTheme="minorEastAsia" w:eastAsiaTheme="minorEastAsia" w:hAnsiTheme="minorEastAsia" w:cs="Arial" w:cstheme="minorEastAsia" w:hint="eastAsia"/>
          <w:sz w:val="32"/>
          <w:szCs w:val="32"/>
        </w:rPr>
        <w:t xml:space="preserve">万元，占基本支出总预算</w:t>
      </w:r>
      <w:r>
        <w:rPr>
          <w:rFonts w:ascii="宋体" w:eastAsia="宋体" w:hAnsi="宋体" w:asciiTheme="minorEastAsia" w:eastAsiaTheme="minorEastAsia" w:hAnsiTheme="minorEastAsia" w:cs="Arial" w:cstheme="minorEastAsia" w:hint="eastAsia"/>
          <w:sz w:val="32"/>
          <w:szCs w:val="32"/>
          <w:lang w:val="en-US" w:eastAsia="zh-CN"/>
        </w:rPr>
        <w:t xml:space="preserve">98.24%</w:t>
      </w:r>
      <w:r>
        <w:rPr>
          <w:rFonts w:ascii="宋体" w:eastAsia="宋体" w:hAnsi="宋体" w:asciiTheme="minorEastAsia" w:eastAsiaTheme="minorEastAsia" w:hAnsiTheme="minorEastAsia" w:cs="Arial" w:cstheme="minorEastAsia" w:hint="eastAsia"/>
          <w:sz w:val="32"/>
          <w:szCs w:val="32"/>
        </w:rPr>
        <w:t xml:space="preserve">,比上年</w:t>
      </w:r>
      <w:r>
        <w:rPr>
          <w:sz w:val="32"/>
          <w:u w:color="auto"/>
        </w:rPr>
        <w:t xml:space="preserve">减少27.08</w:t>
      </w:r>
      <w:r>
        <w:rPr>
          <w:sz w:val="32"/>
          <w:u w:color="auto"/>
        </w:rPr>
        <w:t xml:space="preserve">万元，</w:t>
      </w:r>
      <w:r>
        <w:rPr>
          <w:sz w:val="32"/>
          <w:u w:color="auto"/>
        </w:rPr>
        <w:t xml:space="preserve">减少21.09%</w:t>
      </w:r>
      <w:r>
        <w:rPr>
          <w:sz w:val="32"/>
          <w:u w:color="auto"/>
        </w:rPr>
        <w:t xml:space="preserve">,主要原因是：较上年减少奖励性绩效科目预算；23年6月一名在职人员调出，9月公开招聘一名在职人员，在职人员工资福利支出增加及社会保障支出基数增加</w:t>
      </w:r>
      <w:r>
        <w:rPr>
          <w:rFonts w:ascii="宋体" w:eastAsia="宋体" w:hAnsi="宋体" w:asciiTheme="minorEastAsia" w:eastAsiaTheme="minorEastAsia" w:hAnsiTheme="minorEastAsia" w:cs="Arial" w:cstheme="minorEastAsia" w:hint="eastAsia"/>
          <w:sz w:val="32"/>
          <w:szCs w:val="32"/>
          <w:lang w:val="en-US" w:eastAsia="zh-CN"/>
        </w:rPr>
        <w:t xml:space="preserve">。</w:t>
      </w:r>
    </w:p>
    <w:p>
      <w:pPr>
        <w:pStyle w:val="Bodytext|3"/>
        <w:keepNext w:val="0"/>
        <w:keepLines w:val="0"/>
        <w:pageBreakBefore w:val="0"/>
        <w:widowControl w:val="0"/>
        <w:kinsoku/>
        <w:wordWrap/>
        <w:overflowPunct/>
        <w:topLinePunct w:val="0"/>
        <w:autoSpaceDE/>
        <w:autoSpaceDN/>
        <w:bidi w:val="0"/>
        <w:adjustRightInd/>
        <w:snapToGrid/>
        <w:spacing w:after="0" w:line="600" w:lineRule="exact"/>
        <w:ind w:firstLine="740"/>
        <w:jc w:val="left"/>
        <w:textAlignment w:val="auto"/>
        <w:rPr>
          <w:rFonts w:ascii="宋体" w:eastAsia="宋体" w:hAnsi="宋体" w:asciiTheme="minorEastAsia" w:eastAsiaTheme="minorEastAsia" w:hAnsiTheme="minorEastAsia" w:cs="Arial" w:cstheme="minorEastAsia" w:hint="eastAsia"/>
          <w:sz w:val="32"/>
          <w:szCs w:val="32"/>
          <w:lang w:val="en-US" w:eastAsia="zh-CN"/>
        </w:rPr>
      </w:pPr>
      <w:r>
        <w:rPr>
          <w:rFonts w:ascii="宋体" w:eastAsia="宋体" w:hAnsi="宋体" w:asciiTheme="minorEastAsia" w:eastAsiaTheme="minorEastAsia" w:hAnsiTheme="minorEastAsia" w:cs="Arial" w:cstheme="minorEastAsia" w:hint="eastAsia"/>
          <w:sz w:val="32"/>
          <w:szCs w:val="32"/>
        </w:rPr>
        <w:t xml:space="preserve">(</w:t>
      </w:r>
      <w:r>
        <w:rPr>
          <w:sz w:val="32"/>
          <w:u w:color="auto"/>
        </w:rPr>
        <w:t xml:space="preserve">2</w:t>
      </w:r>
      <w:r>
        <w:rPr>
          <w:sz w:val="32"/>
          <w:u w:color="auto"/>
        </w:rPr>
        <w:t xml:space="preserve">)</w:t>
      </w:r>
      <w:r>
        <w:rPr>
          <w:sz w:val="32"/>
          <w:u w:color="auto"/>
        </w:rPr>
        <w:t xml:space="preserve">商品和服务支出</w:t>
      </w:r>
      <w:r>
        <w:rPr>
          <w:rFonts w:ascii="宋体" w:eastAsia="宋体" w:hAnsi="宋体" w:asciiTheme="minorEastAsia" w:eastAsiaTheme="minorEastAsia" w:hAnsiTheme="minorEastAsia" w:cs="Arial" w:cstheme="minorEastAsia" w:hint="eastAsia"/>
          <w:sz w:val="32"/>
          <w:szCs w:val="32"/>
          <w:lang w:val="en-US" w:eastAsia="zh-CN"/>
        </w:rPr>
        <w:t xml:space="preserve">1.81</w:t>
      </w:r>
      <w:r>
        <w:rPr>
          <w:rFonts w:ascii="宋体" w:eastAsia="宋体" w:hAnsi="宋体" w:asciiTheme="minorEastAsia" w:eastAsiaTheme="minorEastAsia" w:hAnsiTheme="minorEastAsia" w:cs="Arial" w:cstheme="minorEastAsia" w:hint="eastAsia"/>
          <w:sz w:val="32"/>
          <w:szCs w:val="32"/>
        </w:rPr>
        <w:t xml:space="preserve">万元，占基本支出总预算</w:t>
      </w:r>
      <w:r>
        <w:rPr>
          <w:rFonts w:ascii="宋体" w:eastAsia="宋体" w:hAnsi="宋体" w:asciiTheme="minorEastAsia" w:eastAsiaTheme="minorEastAsia" w:hAnsiTheme="minorEastAsia" w:cs="Arial" w:cstheme="minorEastAsia" w:hint="eastAsia"/>
          <w:sz w:val="32"/>
          <w:szCs w:val="32"/>
          <w:lang w:val="en-US" w:eastAsia="zh-CN"/>
        </w:rPr>
        <w:t xml:space="preserve">1.76%</w:t>
      </w:r>
      <w:r>
        <w:rPr>
          <w:rFonts w:ascii="宋体" w:eastAsia="宋体" w:hAnsi="宋体" w:asciiTheme="minorEastAsia" w:eastAsiaTheme="minorEastAsia" w:hAnsiTheme="minorEastAsia" w:cs="Arial" w:cstheme="minorEastAsia" w:hint="eastAsia"/>
          <w:sz w:val="32"/>
          <w:szCs w:val="32"/>
        </w:rPr>
        <w:t xml:space="preserve">,比上年</w:t>
      </w:r>
      <w:r>
        <w:rPr>
          <w:sz w:val="32"/>
          <w:u w:color="auto"/>
        </w:rPr>
        <w:t xml:space="preserve">增长0.17</w:t>
      </w:r>
      <w:r>
        <w:rPr>
          <w:sz w:val="32"/>
          <w:u w:color="auto"/>
        </w:rPr>
        <w:t xml:space="preserve">万元，</w:t>
      </w:r>
      <w:r>
        <w:rPr>
          <w:sz w:val="32"/>
          <w:u w:color="auto"/>
        </w:rPr>
        <w:t xml:space="preserve">增长10.37%</w:t>
      </w:r>
      <w:r>
        <w:rPr>
          <w:sz w:val="32"/>
          <w:u w:color="auto"/>
        </w:rPr>
        <w:t xml:space="preserve">,主要原因是：23年6月一名在职人员调出，9月公开招聘一名在职人员，在职人员工资基数增加，工会经费科目预算增加</w:t>
      </w:r>
      <w:r>
        <w:rPr>
          <w:rFonts w:ascii="宋体" w:eastAsia="宋体" w:hAnsi="宋体" w:asciiTheme="minorEastAsia" w:eastAsiaTheme="minorEastAsia" w:hAnsiTheme="minorEastAsia" w:cs="Arial" w:cstheme="minorEastAsia" w:hint="eastAsia"/>
          <w:sz w:val="32"/>
          <w:szCs w:val="32"/>
          <w:lang w:val="en-US" w:eastAsia="zh-CN"/>
        </w:rPr>
        <w:t xml:space="preserve">。</w:t>
      </w:r>
    </w:p>
    <w:p>
      <w:pPr>
        <w:pStyle w:val="Bodytext|1"/>
        <w:keepNext w:val="0"/>
        <w:keepLines w:val="0"/>
        <w:pageBreakBefore w:val="0"/>
        <w:widowControl w:val="0"/>
        <w:numPr>
          <w:ilvl w:val="0"/>
          <w:numId w:val="3"/>
        </w:numPr>
        <w:kinsoku/>
        <w:wordWrap/>
        <w:overflowPunct/>
        <w:topLinePunct w:val="0"/>
        <w:autoSpaceDE/>
        <w:autoSpaceDN/>
        <w:bidi w:val="0"/>
        <w:adjustRightInd/>
        <w:snapToGrid/>
        <w:spacing w:line="600" w:lineRule="exact"/>
        <w:ind w:left="0" w:firstLine="640" w:leftChars="0" w:firstLineChars="200"/>
        <w:jc w:val="left"/>
        <w:textAlignment w:val="auto"/>
        <w:rPr>
          <w:rFonts w:ascii="宋体" w:eastAsia="宋体" w:hAnsi="宋体" w:asciiTheme="minorEastAsia" w:eastAsiaTheme="minorEastAsia" w:hAnsiTheme="minorEastAsia" w:cs="Arial" w:cstheme="minorEastAsia" w:hint="eastAsia"/>
          <w:b w:val="0"/>
          <w:bCs w:val="0"/>
          <w:color w:val="000000"/>
          <w:sz w:val="32"/>
          <w:szCs w:val="32"/>
          <w:lang w:val="zh-TW" w:eastAsia="zh-TW" w:bidi="zh-TW"/>
        </w:rPr>
      </w:pPr>
      <w:r>
        <w:rPr>
          <w:rFonts w:ascii="宋体" w:eastAsia="宋体" w:hAnsi="宋体" w:asciiTheme="minorEastAsia" w:eastAsiaTheme="minorEastAsia" w:hAnsiTheme="minorEastAsia" w:cs="Arial" w:cstheme="minorEastAsia" w:hint="eastAsia"/>
          <w:b w:val="0"/>
          <w:bCs w:val="0"/>
          <w:color w:val="000000"/>
          <w:sz w:val="32"/>
          <w:szCs w:val="32"/>
          <w:lang w:val="zh-TW" w:eastAsia="zh-TW" w:bidi="zh-TW"/>
        </w:rPr>
        <w:t xml:space="preserve">项目支出预算。</w:t>
      </w:r>
    </w:p>
    <w:p>
      <w:pPr>
        <w:pStyle w:val="Bodytext|1"/>
        <w:keepNext w:val="0"/>
        <w:keepLines w:val="0"/>
        <w:pageBreakBefore w:val="0"/>
        <w:widowControl w:val="0"/>
        <w:kinsoku/>
        <w:wordWrap/>
        <w:overflowPunct/>
        <w:topLinePunct w:val="0"/>
        <w:autoSpaceDE/>
        <w:autoSpaceDN/>
        <w:bidi w:val="0"/>
        <w:adjustRightInd/>
        <w:snapToGrid/>
        <w:spacing w:line="600" w:lineRule="exact"/>
        <w:ind w:firstLine="600"/>
        <w:jc w:val="left"/>
        <w:textAlignment w:val="auto"/>
        <w:rPr>
          <w:rFonts w:ascii="宋体" w:eastAsia="宋体" w:hAnsi="宋体" w:asciiTheme="minorEastAsia" w:eastAsiaTheme="minorEastAsia" w:hAnsiTheme="minorEastAsia" w:cs="Arial" w:cstheme="minorEastAsia" w:hint="eastAsia"/>
          <w:sz w:val="32"/>
          <w:szCs w:val="32"/>
          <w:lang w:val="en-US" w:eastAsia="zh-CN"/>
        </w:rPr>
      </w:pPr>
      <w:r>
        <w:rPr>
          <w:rFonts w:ascii="宋体" w:eastAsia="宋体" w:hAnsi="宋体" w:asciiTheme="minorEastAsia" w:eastAsiaTheme="minorEastAsia" w:hAnsiTheme="minorEastAsia" w:cs="Arial" w:cstheme="minorEastAsia" w:hint="eastAsia"/>
          <w:sz w:val="32"/>
          <w:szCs w:val="32"/>
        </w:rPr>
        <w:t xml:space="preserve">项目支出预算</w:t>
      </w:r>
      <w:r>
        <w:rPr>
          <w:rFonts w:ascii="宋体" w:eastAsia="宋体" w:hAnsi="宋体" w:asciiTheme="minorEastAsia" w:eastAsiaTheme="minorEastAsia" w:hAnsiTheme="minorEastAsia" w:cs="Arial" w:cstheme="minorEastAsia" w:hint="eastAsia"/>
          <w:sz w:val="32"/>
          <w:szCs w:val="32"/>
          <w:lang w:val="en-US" w:eastAsia="zh-CN"/>
        </w:rPr>
        <w:t xml:space="preserve">10.00</w:t>
      </w:r>
      <w:r>
        <w:rPr>
          <w:rFonts w:ascii="宋体" w:eastAsia="宋体" w:hAnsi="宋体" w:asciiTheme="minorEastAsia" w:eastAsiaTheme="minorEastAsia" w:hAnsiTheme="minorEastAsia" w:cs="Arial" w:cstheme="minorEastAsia" w:hint="eastAsia"/>
          <w:sz w:val="32"/>
          <w:szCs w:val="32"/>
        </w:rPr>
        <w:t xml:space="preserve">万元，占支出预算</w:t>
      </w:r>
      <w:r>
        <w:rPr>
          <w:sz w:val="32"/>
          <w:u w:color="auto"/>
        </w:rPr>
        <w:t xml:space="preserve">8.84%</w:t>
      </w:r>
      <w:r>
        <w:rPr>
          <w:rFonts w:ascii="宋体" w:eastAsia="宋体" w:hAnsi="宋体" w:asciiTheme="minorEastAsia" w:eastAsiaTheme="minorEastAsia" w:hAnsiTheme="minorEastAsia" w:cs="Arial" w:cstheme="minorEastAsia" w:hint="eastAsia"/>
          <w:sz w:val="32"/>
          <w:szCs w:val="32"/>
        </w:rPr>
        <w:t xml:space="preserve">,比上年</w:t>
      </w:r>
      <w:r>
        <w:rPr>
          <w:sz w:val="32"/>
          <w:u w:color="auto"/>
        </w:rPr>
        <w:t xml:space="preserve">增加0.00</w:t>
      </w:r>
      <w:r>
        <w:rPr>
          <w:rFonts w:ascii="宋体" w:eastAsia="宋体" w:hAnsi="宋体" w:asciiTheme="minorEastAsia" w:eastAsiaTheme="minorEastAsia" w:hAnsiTheme="minorEastAsia" w:cs="Arial" w:cstheme="minorEastAsia" w:hint="eastAsia"/>
          <w:sz w:val="32"/>
          <w:szCs w:val="32"/>
        </w:rPr>
        <w:t xml:space="preserve">万元，</w:t>
      </w:r>
      <w:r>
        <w:rPr>
          <w:sz w:val="32"/>
          <w:u w:color="auto"/>
        </w:rPr>
        <w:t xml:space="preserve">增长0.00%</w:t>
      </w:r>
      <w:r>
        <w:rPr>
          <w:rFonts w:ascii="宋体" w:eastAsia="宋体" w:hAnsi="宋体" w:asciiTheme="minorEastAsia" w:eastAsiaTheme="minorEastAsia" w:hAnsiTheme="minorEastAsia" w:cs="Arial" w:cstheme="minorEastAsia" w:hint="eastAsia"/>
          <w:sz w:val="32"/>
          <w:szCs w:val="32"/>
        </w:rPr>
        <w:t xml:space="preserve">。</w:t>
      </w:r>
      <w:r>
        <w:rPr>
          <w:rFonts w:ascii="宋体" w:eastAsia="宋体" w:hAnsi="宋体" w:asciiTheme="minorEastAsia" w:eastAsiaTheme="minorEastAsia" w:hAnsiTheme="minorEastAsia" w:cs="Arial" w:cstheme="minorEastAsia" w:hint="eastAsia"/>
          <w:sz w:val="32"/>
          <w:szCs w:val="32"/>
          <w:lang w:val="en-US" w:eastAsia="zh-CN"/>
        </w:rPr>
        <w:t xml:space="preserve">其中：</w:t>
      </w:r>
    </w:p>
    <w:p>
      <w:pPr>
        <w:pStyle w:val="Bodytext|3"/>
        <w:keepNext w:val="0"/>
        <w:keepLines w:val="0"/>
        <w:pageBreakBefore w:val="0"/>
        <w:widowControl w:val="0"/>
        <w:kinsoku/>
        <w:wordWrap/>
        <w:overflowPunct/>
        <w:topLinePunct w:val="0"/>
        <w:autoSpaceDE/>
        <w:autoSpaceDN/>
        <w:bidi w:val="0"/>
        <w:adjustRightInd/>
        <w:snapToGrid/>
        <w:spacing w:after="0" w:line="600" w:lineRule="exact"/>
        <w:ind w:firstLine="740"/>
        <w:jc w:val="left"/>
        <w:textAlignment w:val="auto"/>
        <w:rPr>
          <w:rFonts w:ascii="宋体" w:eastAsia="宋体" w:hAnsi="宋体" w:asciiTheme="minorEastAsia" w:eastAsiaTheme="minorEastAsia" w:hAnsiTheme="minorEastAsia" w:cs="Arial" w:cstheme="minorEastAsia" w:hint="eastAsia"/>
          <w:color w:val="000000"/>
          <w:sz w:val="32"/>
          <w:szCs w:val="32"/>
          <w:lang w:val="en-US" w:eastAsia="zh-CN" w:bidi="zh-TW"/>
        </w:rPr>
      </w:pPr>
      <w:r>
        <w:rPr>
          <w:rFonts w:ascii="宋体" w:eastAsia="宋体" w:hAnsi="宋体" w:asciiTheme="minorEastAsia" w:eastAsiaTheme="minorEastAsia" w:hAnsiTheme="minorEastAsia" w:cs="Arial" w:cstheme="minorEastAsia" w:hint="eastAsia"/>
          <w:sz w:val="32"/>
          <w:szCs w:val="32"/>
        </w:rPr>
        <w:t xml:space="preserve">(</w:t>
      </w:r>
      <w:r>
        <w:rPr>
          <w:sz w:val="32"/>
          <w:u w:color="auto"/>
        </w:rPr>
        <w:t xml:space="preserve">1</w:t>
      </w:r>
      <w:r>
        <w:rPr>
          <w:sz w:val="32"/>
          <w:u w:color="auto"/>
        </w:rPr>
        <w:t xml:space="preserve">)</w:t>
      </w:r>
      <w:r>
        <w:rPr>
          <w:sz w:val="32"/>
          <w:u w:color="auto"/>
        </w:rPr>
        <w:t xml:space="preserve">商品和服务支出</w:t>
      </w:r>
      <w:r>
        <w:rPr>
          <w:rFonts w:ascii="宋体" w:eastAsia="宋体" w:hAnsi="宋体" w:asciiTheme="minorEastAsia" w:eastAsiaTheme="minorEastAsia" w:hAnsiTheme="minorEastAsia" w:cs="Arial" w:cstheme="minorEastAsia" w:hint="eastAsia"/>
          <w:sz w:val="32"/>
          <w:szCs w:val="32"/>
          <w:lang w:val="en-US" w:eastAsia="zh-CN"/>
        </w:rPr>
        <w:t xml:space="preserve">10.00</w:t>
      </w:r>
      <w:r>
        <w:rPr>
          <w:rFonts w:ascii="宋体" w:eastAsia="宋体" w:hAnsi="宋体" w:asciiTheme="minorEastAsia" w:eastAsiaTheme="minorEastAsia" w:hAnsiTheme="minorEastAsia" w:cs="Arial" w:cstheme="minorEastAsia" w:hint="eastAsia"/>
          <w:sz w:val="32"/>
          <w:szCs w:val="32"/>
        </w:rPr>
        <w:t xml:space="preserve">万元，占项</w:t>
      </w:r>
      <w:r>
        <w:rPr>
          <w:rFonts w:ascii="宋体" w:eastAsia="宋体" w:hAnsi="宋体" w:asciiTheme="minorEastAsia" w:eastAsiaTheme="minorEastAsia" w:hAnsiTheme="minorEastAsia" w:cs="Arial" w:cstheme="minorEastAsia" w:hint="eastAsia"/>
          <w:color w:val="000000"/>
          <w:sz w:val="32"/>
          <w:szCs w:val="32"/>
          <w:lang w:val="zh-TW" w:eastAsia="zh-TW" w:bidi="zh-TW"/>
        </w:rPr>
        <w:t xml:space="preserve">目支出总预算</w:t>
      </w:r>
      <w:r>
        <w:rPr>
          <w:rFonts w:ascii="宋体" w:eastAsia="宋体" w:hAnsi="宋体" w:asciiTheme="minorEastAsia" w:eastAsiaTheme="minorEastAsia" w:hAnsiTheme="minorEastAsia" w:cs="Arial" w:cstheme="minorEastAsia" w:hint="eastAsia"/>
          <w:color w:val="000000"/>
          <w:sz w:val="32"/>
          <w:szCs w:val="32"/>
          <w:lang w:val="en-US" w:eastAsia="zh-CN" w:bidi="zh-TW"/>
        </w:rPr>
        <w:t xml:space="preserve">100.00%</w:t>
      </w:r>
      <w:r>
        <w:rPr>
          <w:rFonts w:ascii="宋体" w:eastAsia="宋体" w:hAnsi="宋体" w:asciiTheme="minorEastAsia" w:eastAsiaTheme="minorEastAsia" w:hAnsiTheme="minorEastAsia" w:cs="Arial" w:cstheme="minorEastAsia" w:hint="eastAsia"/>
          <w:color w:val="000000"/>
          <w:sz w:val="32"/>
          <w:szCs w:val="32"/>
          <w:lang w:val="zh-TW" w:eastAsia="zh-TW" w:bidi="zh-TW"/>
        </w:rPr>
        <w:t xml:space="preserve">,比上年</w:t>
      </w:r>
      <w:r>
        <w:rPr>
          <w:color w:val="000000"/>
          <w:sz w:val="32"/>
          <w:u w:color="auto"/>
        </w:rPr>
        <w:t xml:space="preserve">增长0.00</w:t>
      </w:r>
      <w:r>
        <w:rPr>
          <w:color w:val="000000"/>
          <w:sz w:val="32"/>
          <w:u w:color="auto"/>
        </w:rPr>
        <w:t xml:space="preserve">万元，</w:t>
      </w:r>
      <w:r>
        <w:rPr>
          <w:color w:val="000000"/>
          <w:sz w:val="32"/>
          <w:u w:color="auto"/>
        </w:rPr>
        <w:t xml:space="preserve">增长0.00%</w:t>
      </w:r>
      <w:r>
        <w:rPr>
          <w:color w:val="000000"/>
          <w:sz w:val="32"/>
          <w:u w:color="auto"/>
        </w:rPr>
        <w:t xml:space="preserve">,主要原因是：</w:t>
      </w:r>
      <w:r>
        <w:rPr>
          <w:rFonts w:ascii="宋体" w:eastAsia="宋体" w:hAnsi="宋体" w:asciiTheme="minorEastAsia" w:eastAsiaTheme="minorEastAsia" w:hAnsiTheme="minorEastAsia" w:cs="Arial" w:cstheme="minorEastAsia" w:hint="eastAsia"/>
          <w:color w:val="000000"/>
          <w:sz w:val="32"/>
          <w:szCs w:val="32"/>
          <w:lang w:val="zh-TW" w:eastAsia="zh-TW" w:bidi="zh-TW"/>
        </w:rPr>
        <w:t xml:space="preserve">项目无变化</w:t>
      </w:r>
      <w:r>
        <w:rPr>
          <w:rFonts w:ascii="宋体" w:eastAsia="宋体" w:hAnsi="宋体" w:asciiTheme="minorEastAsia" w:eastAsiaTheme="minorEastAsia" w:hAnsiTheme="minorEastAsia" w:cs="Arial" w:cstheme="minorEastAsia" w:hint="eastAsia"/>
          <w:color w:val="000000"/>
          <w:sz w:val="32"/>
          <w:szCs w:val="32"/>
          <w:lang w:val="en-US" w:eastAsia="zh-CN" w:bidi="zh-TW"/>
        </w:rPr>
        <w:t xml:space="preserve">。</w:t>
      </w:r>
    </w:p>
    <w:p>
      <w:pPr>
        <w:pStyle w:val="Bodytext|2"/>
        <w:spacing w:after="0" w:line="619" w:lineRule="exact"/>
        <w:ind w:firstLine="620"/>
        <w:jc w:val="left"/>
        <w:rPr>
          <w:rFonts w:ascii="宋体" w:eastAsia="宋体" w:hAnsi="宋体" w:asciiTheme="minorEastAsia" w:eastAsiaTheme="minorEastAsia" w:hAnsiTheme="minorEastAsia" w:cs="Arial" w:cstheme="minorEastAsia" w:hint="eastAsia"/>
          <w:b/>
          <w:bCs/>
          <w:sz w:val="32"/>
          <w:szCs w:val="32"/>
          <w:lang w:val="en-US" w:eastAsia="zh-CN"/>
        </w:rPr>
      </w:pPr>
      <w:r>
        <w:rPr>
          <w:rFonts w:ascii="宋体" w:eastAsia="宋体" w:hAnsi="宋体" w:asciiTheme="minorEastAsia" w:eastAsiaTheme="minorEastAsia" w:hAnsiTheme="minorEastAsia" w:cs="Arial" w:cstheme="minorEastAsia" w:hint="eastAsia"/>
          <w:b/>
          <w:bCs/>
          <w:sz w:val="32"/>
          <w:szCs w:val="32"/>
          <w:lang w:val="en-US" w:eastAsia="zh-CN"/>
        </w:rPr>
        <w:t xml:space="preserve">四、财政拨款收支总体情况说明</w:t>
      </w:r>
    </w:p>
    <w:p>
      <w:pPr>
        <w:pStyle w:val="Bodytext|1"/>
        <w:spacing w:line="240" w:lineRule="auto"/>
        <w:ind w:firstLine="0"/>
        <w:jc w:val="left"/>
        <w:rPr>
          <w:rFonts w:ascii="宋体" w:eastAsia="宋体" w:hAnsi="宋体" w:asciiTheme="minorEastAsia" w:eastAsiaTheme="minorEastAsia" w:hAnsiTheme="minorEastAsia" w:cs="Arial" w:cstheme="minorEastAsia" w:hint="eastAsia"/>
          <w:sz w:val="32"/>
          <w:szCs w:val="32"/>
          <w:lang w:val="en-US" w:eastAsia="zh-CN"/>
        </w:rPr>
      </w:pPr>
      <w:r>
        <w:rPr>
          <w:rFonts w:ascii="宋体" w:eastAsia="宋体" w:hAnsi="宋体" w:asciiTheme="minorEastAsia" w:eastAsiaTheme="minorEastAsia" w:hAnsiTheme="minorEastAsia" w:cs="Arial" w:cstheme="minorEastAsia" w:hint="eastAsia"/>
          <w:sz w:val="32"/>
          <w:szCs w:val="32"/>
          <w:lang w:val="en-US" w:eastAsia="zh-CN"/>
        </w:rPr>
        <w:drawing>
          <wp:inline distT="0" distB="0" distL="114300" distR="114300">
            <wp:extent cx="5080000" cy="3810000"/>
            <wp:effectExtent l="4445" t="4445" r="5715" b="10795"/>
            <wp:docPr id="10540" name="图表 13" title="{{img_sz_cb_data}}"/>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r:id="rId10"/>
              </a:graphicData>
            </a:graphic>
          </wp:inline>
        </w:drawing>
      </w:r>
    </w:p>
    <w:p>
      <w:pPr>
        <w:pStyle w:val="Bodytext|1"/>
        <w:keepNext w:val="0"/>
        <w:keepLines w:val="0"/>
        <w:pageBreakBefore w:val="0"/>
        <w:widowControl w:val="0"/>
        <w:kinsoku/>
        <w:wordWrap/>
        <w:overflowPunct/>
        <w:topLinePunct w:val="0"/>
        <w:autoSpaceDE/>
        <w:autoSpaceDN/>
        <w:bidi w:val="0"/>
        <w:adjustRightInd/>
        <w:snapToGrid/>
        <w:spacing w:line="600" w:lineRule="exact"/>
        <w:ind w:firstLine="601"/>
        <w:jc w:val="left"/>
        <w:textAlignment w:val="auto"/>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lang w:eastAsia="zh-CN"/>
        </w:rPr>
        <w:t xml:space="preserve">2024</w:t>
      </w:r>
      <w:r>
        <w:rPr>
          <w:rFonts w:ascii="宋体" w:eastAsia="宋体" w:hAnsi="宋体" w:asciiTheme="minorEastAsia" w:eastAsiaTheme="minorEastAsia" w:hAnsiTheme="minorEastAsia" w:cs="Arial" w:cstheme="minorEastAsia" w:hint="eastAsia"/>
          <w:sz w:val="32"/>
          <w:szCs w:val="32"/>
          <w:u w:color="auto"/>
        </w:rPr>
        <w:t xml:space="preserve">年</w:t>
      </w:r>
      <w:r>
        <w:rPr>
          <w:rFonts w:ascii="宋体" w:eastAsia="宋体" w:hAnsi="宋体" w:asciiTheme="minorEastAsia" w:eastAsiaTheme="minorEastAsia" w:hAnsiTheme="minorEastAsia" w:cs="Arial" w:cstheme="minorEastAsia" w:hint="eastAsia"/>
          <w:sz w:val="32"/>
          <w:szCs w:val="32"/>
        </w:rPr>
        <w:t xml:space="preserve">财政拨款收入我部门财政拨款总收入</w:t>
      </w:r>
      <w:r>
        <w:rPr>
          <w:rFonts w:ascii="宋体" w:eastAsia="宋体" w:hAnsi="宋体" w:asciiTheme="minorEastAsia" w:eastAsiaTheme="minorEastAsia" w:hAnsiTheme="minorEastAsia" w:cs="Arial" w:cstheme="minorEastAsia" w:hint="eastAsia"/>
          <w:sz w:val="32"/>
          <w:szCs w:val="32"/>
          <w:lang w:val="en-US" w:eastAsia="zh-CN" w:bidi="en-US"/>
        </w:rPr>
        <w:t xml:space="preserve">113.11</w:t>
      </w:r>
      <w:r>
        <w:rPr>
          <w:rFonts w:ascii="宋体" w:eastAsia="宋体" w:hAnsi="宋体" w:asciiTheme="minorEastAsia" w:eastAsiaTheme="minorEastAsia" w:hAnsiTheme="minorEastAsia" w:cs="Arial" w:cstheme="minorEastAsia" w:hint="eastAsia"/>
          <w:sz w:val="32"/>
          <w:szCs w:val="32"/>
        </w:rPr>
        <w:t xml:space="preserve">万元，总支出</w:t>
      </w:r>
      <w:r>
        <w:rPr>
          <w:rFonts w:ascii="宋体" w:eastAsia="宋体" w:hAnsi="宋体" w:asciiTheme="minorEastAsia" w:eastAsiaTheme="minorEastAsia" w:hAnsiTheme="minorEastAsia" w:cs="Arial" w:cstheme="minorEastAsia" w:hint="eastAsia"/>
          <w:sz w:val="32"/>
          <w:szCs w:val="32"/>
          <w:lang w:val="en-US" w:eastAsia="zh-CN" w:bidi="en-US"/>
        </w:rPr>
        <w:t xml:space="preserve">113.11</w:t>
      </w:r>
      <w:r>
        <w:rPr>
          <w:rFonts w:ascii="宋体" w:eastAsia="宋体" w:hAnsi="宋体" w:asciiTheme="minorEastAsia" w:eastAsiaTheme="minorEastAsia" w:hAnsiTheme="minorEastAsia" w:cs="Arial" w:cstheme="minorEastAsia" w:hint="eastAsia"/>
          <w:sz w:val="32"/>
          <w:szCs w:val="32"/>
        </w:rPr>
        <w:t xml:space="preserve">万元。财政拨款总收入较2023年度预算数</w:t>
      </w:r>
      <w:r>
        <w:rPr>
          <w:rFonts w:ascii="宋体" w:eastAsia="宋体" w:hAnsi="宋体" w:asciiTheme="minorEastAsia" w:eastAsiaTheme="minorEastAsia" w:hAnsiTheme="minorEastAsia" w:cs="Arial" w:cstheme="minorEastAsia" w:hint="eastAsia"/>
          <w:sz w:val="32"/>
          <w:szCs w:val="32"/>
          <w:lang w:val="en-US" w:eastAsia="zh-CN" w:bidi="en-US"/>
        </w:rPr>
        <w:t xml:space="preserve">140.01</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val="en-US" w:eastAsia="zh-CN" w:bidi="en-US"/>
        </w:rPr>
        <w:t xml:space="preserve">减少26.90</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val="en-US" w:eastAsia="zh-CN" w:bidi="en-US"/>
        </w:rPr>
        <w:t xml:space="preserve">下降19.21%</w:t>
      </w:r>
      <w:r>
        <w:rPr>
          <w:rFonts w:ascii="宋体" w:eastAsia="宋体" w:hAnsi="宋体" w:asciiTheme="minorEastAsia" w:eastAsiaTheme="minorEastAsia" w:hAnsiTheme="minorEastAsia" w:cs="Arial" w:cstheme="minorEastAsia" w:hint="eastAsia"/>
          <w:sz w:val="32"/>
          <w:szCs w:val="32"/>
        </w:rPr>
        <w:t xml:space="preserve">，主要原因是</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较上年减少奖励性绩效科目预算；23年6月一名在职人员调出，9月公开招聘一名在职人员，在职人员工资福利支出增加及社会保障支出基数增加</w:t>
      </w:r>
      <w:r>
        <w:rPr>
          <w:rFonts w:ascii="宋体" w:eastAsia="宋体" w:hAnsi="宋体" w:asciiTheme="minorEastAsia" w:eastAsiaTheme="minorEastAsia" w:hAnsiTheme="minorEastAsia" w:cs="Arial" w:cstheme="minorEastAsia" w:hint="eastAsia"/>
          <w:sz w:val="32"/>
          <w:szCs w:val="32"/>
        </w:rPr>
        <w:t xml:space="preserve">。财政拨款总支出较2023年度预算数</w:t>
      </w:r>
      <w:r>
        <w:rPr>
          <w:rFonts w:ascii="宋体" w:eastAsia="宋体" w:hAnsi="宋体" w:asciiTheme="minorEastAsia" w:eastAsiaTheme="minorEastAsia" w:hAnsiTheme="minorEastAsia" w:cs="Arial" w:cstheme="minorEastAsia" w:hint="eastAsia"/>
          <w:sz w:val="32"/>
          <w:szCs w:val="32"/>
          <w:lang w:val="en-US" w:eastAsia="zh-CN" w:bidi="en-US"/>
        </w:rPr>
        <w:t xml:space="preserve">140.01</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val="en-US" w:eastAsia="zh-CN" w:bidi="en-US"/>
        </w:rPr>
        <w:t xml:space="preserve">减少26.90</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val="en-US" w:eastAsia="zh-CN" w:bidi="en-US"/>
        </w:rPr>
        <w:t xml:space="preserve">下降19.21%</w:t>
      </w:r>
      <w:r>
        <w:rPr>
          <w:rFonts w:ascii="宋体" w:eastAsia="宋体" w:hAnsi="宋体" w:asciiTheme="minorEastAsia" w:eastAsiaTheme="minorEastAsia" w:hAnsiTheme="minorEastAsia" w:cs="Arial" w:cstheme="minorEastAsia" w:hint="eastAsia"/>
          <w:sz w:val="32"/>
          <w:szCs w:val="32"/>
        </w:rPr>
        <w:t xml:space="preserve">，主要原因是</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较上年减少奖励性绩效科目预算；23年6月一名在职人员调出，9月公开招聘一名在职人员，在职人员工资福利支出增加及社会保障支出基数增加</w:t>
      </w:r>
      <w:r>
        <w:rPr>
          <w:rFonts w:ascii="宋体" w:eastAsia="宋体" w:hAnsi="宋体" w:asciiTheme="minorEastAsia" w:eastAsiaTheme="minorEastAsia" w:hAnsiTheme="minorEastAsia" w:cs="Arial" w:cstheme="minorEastAsia" w:hint="eastAsia"/>
          <w:sz w:val="32"/>
          <w:szCs w:val="32"/>
        </w:rPr>
        <w:t xml:space="preserve">。</w:t>
      </w:r>
    </w:p>
    <w:p>
      <w:pPr>
        <w:pStyle w:val="Bodytext|2"/>
        <w:spacing w:after="0" w:line="619" w:lineRule="exact"/>
        <w:ind w:firstLine="620"/>
        <w:jc w:val="left"/>
        <w:rPr>
          <w:rFonts w:ascii="宋体" w:eastAsia="宋体" w:hAnsi="宋体" w:asciiTheme="minorEastAsia" w:eastAsiaTheme="minorEastAsia" w:hAnsiTheme="minorEastAsia" w:cs="Arial" w:cstheme="minorEastAsia" w:hint="eastAsia"/>
          <w:b/>
          <w:bCs/>
          <w:sz w:val="32"/>
          <w:szCs w:val="32"/>
          <w:lang w:val="en-US" w:eastAsia="zh-CN"/>
        </w:rPr>
      </w:pPr>
      <w:r>
        <w:rPr>
          <w:rFonts w:ascii="宋体" w:eastAsia="宋体" w:hAnsi="宋体" w:asciiTheme="minorEastAsia" w:eastAsiaTheme="minorEastAsia" w:hAnsiTheme="minorEastAsia" w:cs="Arial" w:cstheme="minorEastAsia" w:hint="eastAsia"/>
          <w:b/>
          <w:bCs/>
          <w:sz w:val="32"/>
          <w:szCs w:val="32"/>
          <w:lang w:val="en-US" w:eastAsia="zh-CN"/>
        </w:rPr>
        <w:t xml:space="preserve">五、一般公共预算支出情况说明</w:t>
      </w:r>
    </w:p>
    <w:p>
      <w:pPr>
        <w:pStyle w:val="Bodytext|1"/>
        <w:spacing w:line="240" w:lineRule="auto"/>
        <w:ind w:firstLine="0"/>
        <w:jc w:val="left"/>
        <w:rPr>
          <w:rFonts w:ascii="宋体" w:eastAsia="宋体" w:hAnsi="宋体" w:asciiTheme="minorEastAsia" w:eastAsiaTheme="minorEastAsia" w:hAnsiTheme="minorEastAsia" w:cs="Arial" w:cstheme="minorEastAsia" w:hint="eastAsia"/>
          <w:sz w:val="32"/>
          <w:szCs w:val="32"/>
          <w:lang w:eastAsia="zh-CN"/>
        </w:rPr>
      </w:pPr>
      <w:r>
        <w:rPr>
          <w:rFonts w:ascii="宋体" w:eastAsia="宋体" w:hAnsi="宋体" w:asciiTheme="minorEastAsia" w:eastAsiaTheme="minorEastAsia" w:hAnsiTheme="minorEastAsia" w:cs="Arial" w:cstheme="minorEastAsia" w:hint="eastAsia"/>
          <w:sz w:val="32"/>
          <w:szCs w:val="32"/>
          <w:lang w:eastAsia="zh-CN"/>
        </w:rPr>
        <w:drawing>
          <wp:inline distT="0" distB="0" distL="114300" distR="114300">
            <wp:extent cx="5080000" cy="3810000"/>
            <wp:effectExtent l="4445" t="4445" r="20955" b="14605"/>
            <wp:docPr id="10541" name="图表 10" title="{{img_zc_yb_data}}"/>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r:id="rId11"/>
              </a:graphicData>
            </a:graphic>
          </wp:inline>
        </w:drawing>
      </w:r>
    </w:p>
    <w:p>
      <w:pPr>
        <w:pStyle w:val="Bodytext|1"/>
        <w:keepNext w:val="0"/>
        <w:keepLines w:val="0"/>
        <w:pageBreakBefore w:val="0"/>
        <w:widowControl w:val="0"/>
        <w:kinsoku/>
        <w:wordWrap/>
        <w:overflowPunct/>
        <w:topLinePunct w:val="0"/>
        <w:autoSpaceDE/>
        <w:autoSpaceDN/>
        <w:bidi w:val="0"/>
        <w:adjustRightInd/>
        <w:snapToGrid/>
        <w:spacing w:line="600" w:lineRule="exact"/>
        <w:ind w:left="0" w:firstLine="640" w:leftChars="0" w:firstLineChars="200"/>
        <w:jc w:val="left"/>
        <w:textAlignment w:val="auto"/>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lang w:eastAsia="zh-CN"/>
        </w:rPr>
        <w:t xml:space="preserve">2024</w:t>
      </w:r>
      <w:r>
        <w:rPr>
          <w:rFonts w:ascii="宋体" w:eastAsia="宋体" w:hAnsi="宋体" w:asciiTheme="minorEastAsia" w:eastAsiaTheme="minorEastAsia" w:hAnsiTheme="minorEastAsia" w:cs="Arial" w:cstheme="minorEastAsia" w:hint="eastAsia"/>
          <w:sz w:val="32"/>
          <w:szCs w:val="32"/>
          <w:lang w:val="en-US" w:eastAsia="zh-CN"/>
        </w:rPr>
        <w:t xml:space="preserve">年</w:t>
      </w:r>
      <w:r>
        <w:rPr>
          <w:rFonts w:ascii="宋体" w:eastAsia="宋体" w:hAnsi="宋体" w:asciiTheme="minorEastAsia" w:eastAsiaTheme="minorEastAsia" w:hAnsiTheme="minorEastAsia" w:cs="Arial" w:cstheme="minorEastAsia" w:hint="eastAsia"/>
          <w:sz w:val="32"/>
          <w:szCs w:val="32"/>
        </w:rPr>
        <w:t xml:space="preserve">一般公共预算支出共</w:t>
      </w:r>
      <w:r>
        <w:rPr>
          <w:rFonts w:ascii="宋体" w:eastAsia="宋体" w:hAnsi="宋体" w:asciiTheme="minorEastAsia" w:eastAsiaTheme="minorEastAsia" w:hAnsiTheme="minorEastAsia" w:cs="Arial" w:cstheme="minorEastAsia" w:hint="eastAsia"/>
          <w:sz w:val="32"/>
          <w:szCs w:val="32"/>
          <w:lang w:val="en-US" w:eastAsia="zh-CN"/>
        </w:rPr>
        <w:t xml:space="preserve">113.11</w:t>
      </w:r>
      <w:r>
        <w:rPr>
          <w:rFonts w:ascii="宋体" w:eastAsia="宋体" w:hAnsi="宋体" w:asciiTheme="minorEastAsia" w:eastAsiaTheme="minorEastAsia" w:hAnsiTheme="minorEastAsia" w:cs="Arial" w:cstheme="minorEastAsia" w:hint="eastAsia"/>
          <w:sz w:val="32"/>
          <w:szCs w:val="32"/>
        </w:rPr>
        <w:t xml:space="preserve">万元，较2023年度预算数</w:t>
      </w:r>
      <w:r>
        <w:rPr>
          <w:rFonts w:ascii="宋体" w:eastAsia="宋体" w:hAnsi="宋体" w:asciiTheme="minorEastAsia" w:eastAsiaTheme="minorEastAsia" w:hAnsiTheme="minorEastAsia" w:cs="Arial" w:cstheme="minorEastAsia" w:hint="eastAsia"/>
          <w:sz w:val="32"/>
          <w:szCs w:val="32"/>
          <w:lang w:val="en-US" w:eastAsia="zh-CN"/>
        </w:rPr>
        <w:t xml:space="preserve">140.01</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val="en-US" w:eastAsia="zh-CN"/>
        </w:rPr>
        <w:t xml:space="preserve">减少26.90</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val="en-US" w:eastAsia="zh-CN"/>
        </w:rPr>
        <w:t xml:space="preserve">下降19.21%</w:t>
      </w:r>
      <w:r>
        <w:rPr>
          <w:rFonts w:ascii="宋体" w:eastAsia="宋体" w:hAnsi="宋体" w:asciiTheme="minorEastAsia" w:eastAsiaTheme="minorEastAsia" w:hAnsiTheme="minorEastAsia" w:cs="Arial" w:cstheme="minorEastAsia" w:hint="eastAsia"/>
          <w:sz w:val="32"/>
          <w:szCs w:val="32"/>
        </w:rPr>
        <w:t xml:space="preserve">，主要原因是</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较上年减少奖励性绩效科目预算；23年6月一名在职人员调出，9月公开招聘一名在职人员，在职人员工资福利支出增加及社会保障支出基数增加</w:t>
      </w:r>
      <w:r>
        <w:rPr>
          <w:rFonts w:ascii="宋体" w:eastAsia="宋体" w:hAnsi="宋体" w:asciiTheme="minorEastAsia" w:eastAsiaTheme="minorEastAsia" w:hAnsiTheme="minorEastAsia" w:cs="Arial" w:cstheme="minorEastAsia" w:hint="eastAsia"/>
          <w:sz w:val="32"/>
          <w:szCs w:val="32"/>
        </w:rPr>
        <w:t xml:space="preserve">。具体情况为：</w:t>
      </w:r>
    </w:p>
    <w:p>
      <w:pPr>
        <w:pStyle w:val="Bodytext|1"/>
        <w:keepNext w:val="0"/>
        <w:keepLines w:val="0"/>
        <w:pageBreakBefore w:val="0"/>
        <w:widowControl w:val="0"/>
        <w:kinsoku/>
        <w:wordWrap/>
        <w:overflowPunct/>
        <w:topLinePunct w:val="0"/>
        <w:autoSpaceDE/>
        <w:autoSpaceDN/>
        <w:bidi w:val="0"/>
        <w:adjustRightInd/>
        <w:snapToGrid/>
        <w:spacing w:line="600" w:lineRule="exact"/>
        <w:ind w:left="0" w:firstLine="640" w:leftChars="0" w:firstLineChars="200"/>
        <w:jc w:val="left"/>
        <w:textAlignment w:val="auto"/>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一般公共服务支出</w:t>
      </w:r>
      <w:r>
        <w:rPr>
          <w:rFonts w:ascii="宋体" w:eastAsia="宋体" w:hAnsi="宋体" w:asciiTheme="minorEastAsia" w:eastAsiaTheme="minorEastAsia" w:hAnsiTheme="minorEastAsia" w:cs="Arial" w:cstheme="minorEastAsia" w:hint="eastAsia"/>
          <w:sz w:val="32"/>
          <w:szCs w:val="32"/>
        </w:rPr>
        <w:t xml:space="preserve">（类）支出</w:t>
      </w:r>
      <w:r>
        <w:rPr>
          <w:sz w:val="32"/>
          <w:u w:color="auto"/>
        </w:rPr>
        <w:t xml:space="preserve">72.25</w:t>
      </w:r>
      <w:r>
        <w:rPr>
          <w:rFonts w:ascii="宋体" w:eastAsia="宋体" w:hAnsi="宋体" w:asciiTheme="minorEastAsia" w:eastAsiaTheme="minorEastAsia" w:hAnsiTheme="minorEastAsia" w:cs="Arial" w:cstheme="minorEastAsia" w:hint="eastAsia"/>
          <w:sz w:val="32"/>
          <w:szCs w:val="32"/>
        </w:rPr>
        <w:t xml:space="preserve">万元，占支出总预算的</w:t>
      </w:r>
      <w:r>
        <w:rPr>
          <w:sz w:val="32"/>
          <w:u w:color="auto"/>
        </w:rPr>
        <w:t xml:space="preserve">63.88%</w:t>
      </w:r>
      <w:r>
        <w:rPr>
          <w:rFonts w:ascii="宋体" w:eastAsia="宋体" w:hAnsi="宋体" w:asciiTheme="minorEastAsia" w:eastAsiaTheme="minorEastAsia" w:hAnsiTheme="minorEastAsia" w:cs="Arial" w:cstheme="minorEastAsia" w:hint="eastAsia"/>
          <w:sz w:val="32"/>
          <w:szCs w:val="32"/>
          <w:lang w:eastAsia="zh-CN"/>
        </w:rPr>
        <w:t xml:space="preserve">，</w:t>
      </w:r>
      <w:r>
        <w:rPr>
          <w:rFonts w:ascii="宋体" w:eastAsia="宋体" w:hAnsi="宋体" w:asciiTheme="minorEastAsia" w:eastAsiaTheme="minorEastAsia" w:hAnsiTheme="minorEastAsia" w:cs="Arial" w:cstheme="minorEastAsia" w:hint="eastAsia"/>
          <w:sz w:val="32"/>
          <w:szCs w:val="32"/>
        </w:rPr>
        <w:t xml:space="preserve">较2023年度预算数</w:t>
      </w:r>
      <w:r>
        <w:rPr>
          <w:sz w:val="32"/>
          <w:u w:color="auto"/>
        </w:rPr>
        <w:t xml:space="preserve">102.22</w:t>
      </w:r>
      <w:r>
        <w:rPr>
          <w:rFonts w:ascii="宋体" w:eastAsia="宋体" w:hAnsi="宋体" w:asciiTheme="minorEastAsia" w:eastAsiaTheme="minorEastAsia" w:hAnsiTheme="minorEastAsia" w:cs="Arial" w:cstheme="minorEastAsia" w:hint="eastAsia"/>
          <w:sz w:val="32"/>
          <w:szCs w:val="32"/>
        </w:rPr>
        <w:t xml:space="preserve">万元，</w:t>
      </w:r>
      <w:r>
        <w:rPr>
          <w:sz w:val="32"/>
          <w:u w:color="auto"/>
        </w:rPr>
        <w:t xml:space="preserve">减少29.97</w:t>
      </w:r>
      <w:r>
        <w:rPr>
          <w:rFonts w:ascii="宋体" w:eastAsia="宋体" w:hAnsi="宋体" w:asciiTheme="minorEastAsia" w:eastAsiaTheme="minorEastAsia" w:hAnsiTheme="minorEastAsia" w:cs="Arial" w:cstheme="minorEastAsia" w:hint="eastAsia"/>
          <w:sz w:val="32"/>
          <w:szCs w:val="32"/>
        </w:rPr>
        <w:t xml:space="preserve">万元，</w:t>
      </w:r>
      <w:r>
        <w:rPr>
          <w:sz w:val="32"/>
          <w:u w:color="auto"/>
        </w:rPr>
        <w:t xml:space="preserve">下降29.32%</w:t>
      </w:r>
      <w:r>
        <w:rPr>
          <w:rFonts w:ascii="宋体" w:eastAsia="宋体" w:hAnsi="宋体" w:asciiTheme="minorEastAsia" w:eastAsiaTheme="minorEastAsia" w:hAnsiTheme="minorEastAsia" w:cs="Arial" w:cstheme="minorEastAsia" w:hint="eastAsia"/>
          <w:sz w:val="32"/>
          <w:szCs w:val="32"/>
        </w:rPr>
        <w:t xml:space="preserve">，主要原因是：</w:t>
      </w:r>
      <w:r>
        <w:rPr>
          <w:rFonts w:ascii="宋体" w:eastAsia="宋体" w:hAnsi="宋体" w:asciiTheme="minorEastAsia" w:eastAsiaTheme="minorEastAsia" w:hAnsiTheme="minorEastAsia" w:cs="Arial" w:cstheme="minorEastAsia" w:hint="eastAsia"/>
          <w:sz w:val="32"/>
          <w:szCs w:val="32"/>
          <w:highlight w:val="none"/>
        </w:rPr>
        <w:t xml:space="preserve">较上年减少奖励性绩效科目预算；23年6月一名在职人员调出，9月公开招聘一名在职人员，在职人员工资福利支出增加及社会保障支出基数增加</w:t>
      </w:r>
      <w:r>
        <w:rPr>
          <w:rFonts w:ascii="宋体" w:eastAsia="宋体" w:hAnsi="宋体" w:asciiTheme="minorEastAsia" w:eastAsiaTheme="minorEastAsia" w:hAnsiTheme="minorEastAsia" w:cs="Arial" w:cstheme="minorEastAsia" w:hint="eastAsia"/>
          <w:sz w:val="32"/>
          <w:szCs w:val="32"/>
        </w:rPr>
        <w:t xml:space="preserve">。</w:t>
      </w:r>
    </w:p>
    <w:p>
      <w:pPr>
        <w:pStyle w:val="Bodytext|1"/>
        <w:keepNext w:val="0"/>
        <w:keepLines w:val="0"/>
        <w:pageBreakBefore w:val="0"/>
        <w:widowControl w:val="0"/>
        <w:kinsoku/>
        <w:wordWrap/>
        <w:overflowPunct/>
        <w:topLinePunct w:val="0"/>
        <w:autoSpaceDE/>
        <w:autoSpaceDN/>
        <w:bidi w:val="0"/>
        <w:adjustRightInd/>
        <w:snapToGrid/>
        <w:spacing w:line="600" w:lineRule="exact"/>
        <w:ind w:left="0" w:firstLine="640" w:leftChars="0" w:firstLineChars="200"/>
        <w:jc w:val="left"/>
        <w:textAlignment w:val="auto"/>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住房保障支出</w:t>
      </w:r>
      <w:r>
        <w:rPr>
          <w:rFonts w:ascii="宋体" w:eastAsia="宋体" w:hAnsi="宋体" w:asciiTheme="minorEastAsia" w:eastAsiaTheme="minorEastAsia" w:hAnsiTheme="minorEastAsia" w:cs="Arial" w:cstheme="minorEastAsia" w:hint="eastAsia"/>
          <w:sz w:val="32"/>
          <w:szCs w:val="32"/>
        </w:rPr>
        <w:t xml:space="preserve">（类）支出</w:t>
      </w:r>
      <w:r>
        <w:rPr>
          <w:sz w:val="32"/>
          <w:u w:color="auto"/>
        </w:rPr>
        <w:t xml:space="preserve">10.34</w:t>
      </w:r>
      <w:r>
        <w:rPr>
          <w:rFonts w:ascii="宋体" w:eastAsia="宋体" w:hAnsi="宋体" w:asciiTheme="minorEastAsia" w:eastAsiaTheme="minorEastAsia" w:hAnsiTheme="minorEastAsia" w:cs="Arial" w:cstheme="minorEastAsia" w:hint="eastAsia"/>
          <w:sz w:val="32"/>
          <w:szCs w:val="32"/>
        </w:rPr>
        <w:t xml:space="preserve">万元，占支出总预算的</w:t>
      </w:r>
      <w:r>
        <w:rPr>
          <w:sz w:val="32"/>
          <w:u w:color="auto"/>
        </w:rPr>
        <w:t xml:space="preserve">9.14%</w:t>
      </w:r>
      <w:r>
        <w:rPr>
          <w:rFonts w:ascii="宋体" w:eastAsia="宋体" w:hAnsi="宋体" w:asciiTheme="minorEastAsia" w:eastAsiaTheme="minorEastAsia" w:hAnsiTheme="minorEastAsia" w:cs="Arial" w:cstheme="minorEastAsia" w:hint="eastAsia"/>
          <w:sz w:val="32"/>
          <w:szCs w:val="32"/>
          <w:lang w:eastAsia="zh-CN"/>
        </w:rPr>
        <w:t xml:space="preserve">，</w:t>
      </w:r>
      <w:r>
        <w:rPr>
          <w:rFonts w:ascii="宋体" w:eastAsia="宋体" w:hAnsi="宋体" w:asciiTheme="minorEastAsia" w:eastAsiaTheme="minorEastAsia" w:hAnsiTheme="minorEastAsia" w:cs="Arial" w:cstheme="minorEastAsia" w:hint="eastAsia"/>
          <w:sz w:val="32"/>
          <w:szCs w:val="32"/>
        </w:rPr>
        <w:t xml:space="preserve">较2023年度预算数</w:t>
      </w:r>
      <w:r>
        <w:rPr>
          <w:sz w:val="32"/>
          <w:u w:color="auto"/>
        </w:rPr>
        <w:t xml:space="preserve">9.57</w:t>
      </w:r>
      <w:r>
        <w:rPr>
          <w:rFonts w:ascii="宋体" w:eastAsia="宋体" w:hAnsi="宋体" w:asciiTheme="minorEastAsia" w:eastAsiaTheme="minorEastAsia" w:hAnsiTheme="minorEastAsia" w:cs="Arial" w:cstheme="minorEastAsia" w:hint="eastAsia"/>
          <w:sz w:val="32"/>
          <w:szCs w:val="32"/>
        </w:rPr>
        <w:t xml:space="preserve">万元，</w:t>
      </w:r>
      <w:r>
        <w:rPr>
          <w:sz w:val="32"/>
          <w:u w:color="auto"/>
        </w:rPr>
        <w:t xml:space="preserve">增加0.77</w:t>
      </w:r>
      <w:r>
        <w:rPr>
          <w:rFonts w:ascii="宋体" w:eastAsia="宋体" w:hAnsi="宋体" w:asciiTheme="minorEastAsia" w:eastAsiaTheme="minorEastAsia" w:hAnsiTheme="minorEastAsia" w:cs="Arial" w:cstheme="minorEastAsia" w:hint="eastAsia"/>
          <w:sz w:val="32"/>
          <w:szCs w:val="32"/>
        </w:rPr>
        <w:t xml:space="preserve">万元，</w:t>
      </w:r>
      <w:r>
        <w:rPr>
          <w:sz w:val="32"/>
          <w:u w:color="auto"/>
        </w:rPr>
        <w:t xml:space="preserve">增长8.05%</w:t>
      </w:r>
      <w:r>
        <w:rPr>
          <w:rFonts w:ascii="宋体" w:eastAsia="宋体" w:hAnsi="宋体" w:asciiTheme="minorEastAsia" w:eastAsiaTheme="minorEastAsia" w:hAnsiTheme="minorEastAsia" w:cs="Arial" w:cstheme="minorEastAsia" w:hint="eastAsia"/>
          <w:sz w:val="32"/>
          <w:szCs w:val="32"/>
        </w:rPr>
        <w:t xml:space="preserve">，主要原因是：</w:t>
      </w:r>
      <w:r>
        <w:rPr>
          <w:rFonts w:ascii="宋体" w:eastAsia="宋体" w:hAnsi="宋体" w:asciiTheme="minorEastAsia" w:eastAsiaTheme="minorEastAsia" w:hAnsiTheme="minorEastAsia" w:cs="Arial" w:cstheme="minorEastAsia" w:hint="eastAsia"/>
          <w:sz w:val="32"/>
          <w:szCs w:val="32"/>
          <w:highlight w:val="none"/>
        </w:rPr>
        <w:t xml:space="preserve">23年6月一名在职人员调出，9月公开招聘一名在职人员，在职人员工资增加及社会保障支出基数增加</w:t>
      </w:r>
      <w:r>
        <w:rPr>
          <w:rFonts w:ascii="宋体" w:eastAsia="宋体" w:hAnsi="宋体" w:asciiTheme="minorEastAsia" w:eastAsiaTheme="minorEastAsia" w:hAnsiTheme="minorEastAsia" w:cs="Arial" w:cstheme="minorEastAsia" w:hint="eastAsia"/>
          <w:sz w:val="32"/>
          <w:szCs w:val="32"/>
        </w:rPr>
        <w:t xml:space="preserve">。</w:t>
      </w:r>
    </w:p>
    <w:p>
      <w:pPr>
        <w:pStyle w:val="Bodytext|1"/>
        <w:keepNext w:val="0"/>
        <w:keepLines w:val="0"/>
        <w:pageBreakBefore w:val="0"/>
        <w:widowControl w:val="0"/>
        <w:kinsoku/>
        <w:wordWrap/>
        <w:overflowPunct/>
        <w:topLinePunct w:val="0"/>
        <w:autoSpaceDE/>
        <w:autoSpaceDN/>
        <w:bidi w:val="0"/>
        <w:adjustRightInd/>
        <w:snapToGrid/>
        <w:spacing w:line="600" w:lineRule="exact"/>
        <w:ind w:left="0" w:firstLine="640" w:leftChars="0" w:firstLineChars="200"/>
        <w:jc w:val="left"/>
        <w:textAlignment w:val="auto"/>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卫生健康支出</w:t>
      </w:r>
      <w:r>
        <w:rPr>
          <w:rFonts w:ascii="宋体" w:eastAsia="宋体" w:hAnsi="宋体" w:asciiTheme="minorEastAsia" w:eastAsiaTheme="minorEastAsia" w:hAnsiTheme="minorEastAsia" w:cs="Arial" w:cstheme="minorEastAsia" w:hint="eastAsia"/>
          <w:sz w:val="32"/>
          <w:szCs w:val="32"/>
        </w:rPr>
        <w:t xml:space="preserve">（类）支出</w:t>
      </w:r>
      <w:r>
        <w:rPr>
          <w:sz w:val="32"/>
          <w:u w:color="auto"/>
        </w:rPr>
        <w:t xml:space="preserve">9.40</w:t>
      </w:r>
      <w:r>
        <w:rPr>
          <w:rFonts w:ascii="宋体" w:eastAsia="宋体" w:hAnsi="宋体" w:asciiTheme="minorEastAsia" w:eastAsiaTheme="minorEastAsia" w:hAnsiTheme="minorEastAsia" w:cs="Arial" w:cstheme="minorEastAsia" w:hint="eastAsia"/>
          <w:sz w:val="32"/>
          <w:szCs w:val="32"/>
        </w:rPr>
        <w:t xml:space="preserve">万元，占支出总预算的</w:t>
      </w:r>
      <w:r>
        <w:rPr>
          <w:sz w:val="32"/>
          <w:u w:color="auto"/>
        </w:rPr>
        <w:t xml:space="preserve">8.31%</w:t>
      </w:r>
      <w:r>
        <w:rPr>
          <w:rFonts w:ascii="宋体" w:eastAsia="宋体" w:hAnsi="宋体" w:asciiTheme="minorEastAsia" w:eastAsiaTheme="minorEastAsia" w:hAnsiTheme="minorEastAsia" w:cs="Arial" w:cstheme="minorEastAsia" w:hint="eastAsia"/>
          <w:sz w:val="32"/>
          <w:szCs w:val="32"/>
          <w:lang w:eastAsia="zh-CN"/>
        </w:rPr>
        <w:t xml:space="preserve">，</w:t>
      </w:r>
      <w:r>
        <w:rPr>
          <w:rFonts w:ascii="宋体" w:eastAsia="宋体" w:hAnsi="宋体" w:asciiTheme="minorEastAsia" w:eastAsiaTheme="minorEastAsia" w:hAnsiTheme="minorEastAsia" w:cs="Arial" w:cstheme="minorEastAsia" w:hint="eastAsia"/>
          <w:sz w:val="32"/>
          <w:szCs w:val="32"/>
        </w:rPr>
        <w:t xml:space="preserve">较2023年度预算数</w:t>
      </w:r>
      <w:r>
        <w:rPr>
          <w:sz w:val="32"/>
          <w:u w:color="auto"/>
        </w:rPr>
        <w:t xml:space="preserve">8.67</w:t>
      </w:r>
      <w:r>
        <w:rPr>
          <w:rFonts w:ascii="宋体" w:eastAsia="宋体" w:hAnsi="宋体" w:asciiTheme="minorEastAsia" w:eastAsiaTheme="minorEastAsia" w:hAnsiTheme="minorEastAsia" w:cs="Arial" w:cstheme="minorEastAsia" w:hint="eastAsia"/>
          <w:sz w:val="32"/>
          <w:szCs w:val="32"/>
        </w:rPr>
        <w:t xml:space="preserve">万元，</w:t>
      </w:r>
      <w:r>
        <w:rPr>
          <w:sz w:val="32"/>
          <w:u w:color="auto"/>
        </w:rPr>
        <w:t xml:space="preserve">增加0.73</w:t>
      </w:r>
      <w:r>
        <w:rPr>
          <w:rFonts w:ascii="宋体" w:eastAsia="宋体" w:hAnsi="宋体" w:asciiTheme="minorEastAsia" w:eastAsiaTheme="minorEastAsia" w:hAnsiTheme="minorEastAsia" w:cs="Arial" w:cstheme="minorEastAsia" w:hint="eastAsia"/>
          <w:sz w:val="32"/>
          <w:szCs w:val="32"/>
        </w:rPr>
        <w:t xml:space="preserve">万元，</w:t>
      </w:r>
      <w:r>
        <w:rPr>
          <w:sz w:val="32"/>
          <w:u w:color="auto"/>
        </w:rPr>
        <w:t xml:space="preserve">增长8.42%</w:t>
      </w:r>
      <w:r>
        <w:rPr>
          <w:rFonts w:ascii="宋体" w:eastAsia="宋体" w:hAnsi="宋体" w:asciiTheme="minorEastAsia" w:eastAsiaTheme="minorEastAsia" w:hAnsiTheme="minorEastAsia" w:cs="Arial" w:cstheme="minorEastAsia" w:hint="eastAsia"/>
          <w:sz w:val="32"/>
          <w:szCs w:val="32"/>
        </w:rPr>
        <w:t xml:space="preserve">，主要原因是：</w:t>
      </w:r>
      <w:r>
        <w:rPr>
          <w:rFonts w:ascii="宋体" w:eastAsia="宋体" w:hAnsi="宋体" w:asciiTheme="minorEastAsia" w:eastAsiaTheme="minorEastAsia" w:hAnsiTheme="minorEastAsia" w:cs="Arial" w:cstheme="minorEastAsia" w:hint="eastAsia"/>
          <w:sz w:val="32"/>
          <w:szCs w:val="32"/>
          <w:highlight w:val="none"/>
        </w:rPr>
        <w:t xml:space="preserve">23年6月一名在职人员调出，9月公开招聘一名在职人员，在职人员工资增加及社会保障支出基数增加</w:t>
      </w:r>
      <w:r>
        <w:rPr>
          <w:rFonts w:ascii="宋体" w:eastAsia="宋体" w:hAnsi="宋体" w:asciiTheme="minorEastAsia" w:eastAsiaTheme="minorEastAsia" w:hAnsiTheme="minorEastAsia" w:cs="Arial" w:cstheme="minorEastAsia" w:hint="eastAsia"/>
          <w:sz w:val="32"/>
          <w:szCs w:val="32"/>
        </w:rPr>
        <w:t xml:space="preserve">。</w:t>
      </w:r>
    </w:p>
    <w:p>
      <w:pPr>
        <w:pStyle w:val="Bodytext|1"/>
        <w:keepNext w:val="0"/>
        <w:keepLines w:val="0"/>
        <w:pageBreakBefore w:val="0"/>
        <w:widowControl w:val="0"/>
        <w:kinsoku/>
        <w:wordWrap/>
        <w:overflowPunct/>
        <w:topLinePunct w:val="0"/>
        <w:autoSpaceDE/>
        <w:autoSpaceDN/>
        <w:bidi w:val="0"/>
        <w:adjustRightInd/>
        <w:snapToGrid/>
        <w:spacing w:line="600" w:lineRule="exact"/>
        <w:ind w:left="0" w:firstLine="640" w:leftChars="0" w:firstLineChars="200"/>
        <w:jc w:val="left"/>
        <w:textAlignment w:val="auto"/>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社会保障和就业支出</w:t>
      </w:r>
      <w:r>
        <w:rPr>
          <w:rFonts w:ascii="宋体" w:eastAsia="宋体" w:hAnsi="宋体" w:asciiTheme="minorEastAsia" w:eastAsiaTheme="minorEastAsia" w:hAnsiTheme="minorEastAsia" w:cs="Arial" w:cstheme="minorEastAsia" w:hint="eastAsia"/>
          <w:sz w:val="32"/>
          <w:szCs w:val="32"/>
        </w:rPr>
        <w:t xml:space="preserve">（类）支出</w:t>
      </w:r>
      <w:r>
        <w:rPr>
          <w:sz w:val="32"/>
          <w:u w:color="auto"/>
        </w:rPr>
        <w:t xml:space="preserve">21.12</w:t>
      </w:r>
      <w:r>
        <w:rPr>
          <w:rFonts w:ascii="宋体" w:eastAsia="宋体" w:hAnsi="宋体" w:asciiTheme="minorEastAsia" w:eastAsiaTheme="minorEastAsia" w:hAnsiTheme="minorEastAsia" w:cs="Arial" w:cstheme="minorEastAsia" w:hint="eastAsia"/>
          <w:sz w:val="32"/>
          <w:szCs w:val="32"/>
        </w:rPr>
        <w:t xml:space="preserve">万元，占支出总预算的</w:t>
      </w:r>
      <w:r>
        <w:rPr>
          <w:sz w:val="32"/>
          <w:u w:color="auto"/>
        </w:rPr>
        <w:t xml:space="preserve">18.67%</w:t>
      </w:r>
      <w:r>
        <w:rPr>
          <w:rFonts w:ascii="宋体" w:eastAsia="宋体" w:hAnsi="宋体" w:asciiTheme="minorEastAsia" w:eastAsiaTheme="minorEastAsia" w:hAnsiTheme="minorEastAsia" w:cs="Arial" w:cstheme="minorEastAsia" w:hint="eastAsia"/>
          <w:sz w:val="32"/>
          <w:szCs w:val="32"/>
          <w:lang w:eastAsia="zh-CN"/>
        </w:rPr>
        <w:t xml:space="preserve">，</w:t>
      </w:r>
      <w:r>
        <w:rPr>
          <w:rFonts w:ascii="宋体" w:eastAsia="宋体" w:hAnsi="宋体" w:asciiTheme="minorEastAsia" w:eastAsiaTheme="minorEastAsia" w:hAnsiTheme="minorEastAsia" w:cs="Arial" w:cstheme="minorEastAsia" w:hint="eastAsia"/>
          <w:sz w:val="32"/>
          <w:szCs w:val="32"/>
        </w:rPr>
        <w:t xml:space="preserve">较2023年度预算数</w:t>
      </w:r>
      <w:r>
        <w:rPr>
          <w:sz w:val="32"/>
          <w:u w:color="auto"/>
        </w:rPr>
        <w:t xml:space="preserve">19.55</w:t>
      </w:r>
      <w:r>
        <w:rPr>
          <w:rFonts w:ascii="宋体" w:eastAsia="宋体" w:hAnsi="宋体" w:asciiTheme="minorEastAsia" w:eastAsiaTheme="minorEastAsia" w:hAnsiTheme="minorEastAsia" w:cs="Arial" w:cstheme="minorEastAsia" w:hint="eastAsia"/>
          <w:sz w:val="32"/>
          <w:szCs w:val="32"/>
        </w:rPr>
        <w:t xml:space="preserve">万元，</w:t>
      </w:r>
      <w:r>
        <w:rPr>
          <w:sz w:val="32"/>
          <w:u w:color="auto"/>
        </w:rPr>
        <w:t xml:space="preserve">增加1.57</w:t>
      </w:r>
      <w:r>
        <w:rPr>
          <w:rFonts w:ascii="宋体" w:eastAsia="宋体" w:hAnsi="宋体" w:asciiTheme="minorEastAsia" w:eastAsiaTheme="minorEastAsia" w:hAnsiTheme="minorEastAsia" w:cs="Arial" w:cstheme="minorEastAsia" w:hint="eastAsia"/>
          <w:sz w:val="32"/>
          <w:szCs w:val="32"/>
        </w:rPr>
        <w:t xml:space="preserve">万元，</w:t>
      </w:r>
      <w:r>
        <w:rPr>
          <w:sz w:val="32"/>
          <w:u w:color="auto"/>
        </w:rPr>
        <w:t xml:space="preserve">增长8.03%</w:t>
      </w:r>
      <w:r>
        <w:rPr>
          <w:rFonts w:ascii="宋体" w:eastAsia="宋体" w:hAnsi="宋体" w:asciiTheme="minorEastAsia" w:eastAsiaTheme="minorEastAsia" w:hAnsiTheme="minorEastAsia" w:cs="Arial" w:cstheme="minorEastAsia" w:hint="eastAsia"/>
          <w:sz w:val="32"/>
          <w:szCs w:val="32"/>
        </w:rPr>
        <w:t xml:space="preserve">，主要原因是：</w:t>
      </w:r>
      <w:r>
        <w:rPr>
          <w:rFonts w:ascii="宋体" w:eastAsia="宋体" w:hAnsi="宋体" w:asciiTheme="minorEastAsia" w:eastAsiaTheme="minorEastAsia" w:hAnsiTheme="minorEastAsia" w:cs="Arial" w:cstheme="minorEastAsia" w:hint="eastAsia"/>
          <w:sz w:val="32"/>
          <w:szCs w:val="32"/>
          <w:highlight w:val="none"/>
        </w:rPr>
        <w:t xml:space="preserve">23年6月一名在职人员调出，9月公开招聘一名在职人员，在职人员工资增加及社会保障支出基数增加</w:t>
      </w:r>
      <w:r>
        <w:rPr>
          <w:rFonts w:ascii="宋体" w:eastAsia="宋体" w:hAnsi="宋体" w:asciiTheme="minorEastAsia" w:eastAsiaTheme="minorEastAsia" w:hAnsiTheme="minorEastAsia" w:cs="Arial" w:cstheme="minorEastAsia" w:hint="eastAsia"/>
          <w:sz w:val="32"/>
          <w:szCs w:val="32"/>
        </w:rPr>
        <w:t xml:space="preserve">。</w:t>
      </w:r>
    </w:p>
    <w:p>
      <w:pPr>
        <w:pStyle w:val="Bodytext|2"/>
        <w:keepNext w:val="0"/>
        <w:keepLines w:val="0"/>
        <w:pageBreakBefore w:val="0"/>
        <w:widowControl w:val="0"/>
        <w:kinsoku/>
        <w:wordWrap/>
        <w:overflowPunct/>
        <w:topLinePunct w:val="0"/>
        <w:autoSpaceDE/>
        <w:autoSpaceDN/>
        <w:bidi w:val="0"/>
        <w:adjustRightInd/>
        <w:snapToGrid/>
        <w:spacing w:before="120" w:after="0" w:line="600" w:lineRule="exact"/>
        <w:ind w:firstLine="618"/>
        <w:jc w:val="left"/>
        <w:textAlignment w:val="auto"/>
        <w:rPr>
          <w:rFonts w:ascii="宋体" w:eastAsia="宋体" w:hAnsi="宋体" w:asciiTheme="minorEastAsia" w:eastAsiaTheme="minorEastAsia" w:hAnsiTheme="minorEastAsia" w:cs="Arial" w:cstheme="minorEastAsia" w:hint="eastAsia"/>
          <w:b/>
          <w:bCs/>
          <w:sz w:val="32"/>
          <w:szCs w:val="32"/>
          <w:lang w:val="en-US" w:eastAsia="zh-CN"/>
        </w:rPr>
      </w:pPr>
      <w:r>
        <w:rPr>
          <w:rFonts w:ascii="宋体" w:eastAsia="宋体" w:hAnsi="宋体" w:asciiTheme="minorEastAsia" w:eastAsiaTheme="minorEastAsia" w:hAnsiTheme="minorEastAsia" w:cs="Arial" w:cstheme="minorEastAsia" w:hint="eastAsia"/>
          <w:b/>
          <w:bCs/>
          <w:sz w:val="32"/>
          <w:szCs w:val="32"/>
          <w:lang w:val="en-US" w:eastAsia="zh-CN"/>
        </w:rPr>
        <w:t xml:space="preserve">六、一般公共预算基本支出情况说明</w:t>
      </w:r>
    </w:p>
    <w:p>
      <w:pPr>
        <w:pStyle w:val="Bodytext|2"/>
        <w:spacing w:after="0"/>
        <w:ind w:firstLine="0"/>
        <w:jc w:val="left"/>
        <w:rPr>
          <w:rFonts w:ascii="宋体" w:eastAsia="宋体" w:hAnsi="宋体" w:asciiTheme="minorEastAsia" w:eastAsiaTheme="minorEastAsia" w:hAnsiTheme="minorEastAsia" w:cs="Arial" w:cstheme="minorEastAsia" w:hint="eastAsia"/>
          <w:sz w:val="32"/>
          <w:szCs w:val="32"/>
          <w:highlight w:val="yellow"/>
          <w:lang w:val="en-US" w:eastAsia="zh-CN"/>
        </w:rPr>
      </w:pPr>
      <w:r>
        <w:rPr>
          <w:rFonts w:ascii="宋体" w:eastAsia="宋体" w:hAnsi="宋体" w:asciiTheme="minorEastAsia" w:eastAsiaTheme="minorEastAsia" w:hAnsiTheme="minorEastAsia" w:cs="Arial" w:cstheme="minorEastAsia" w:hint="eastAsia"/>
          <w:sz w:val="32"/>
          <w:szCs w:val="32"/>
          <w:highlight w:val="none"/>
          <w:lang w:val="en-US" w:eastAsia="zh-CN"/>
        </w:rPr>
        <w:drawing>
          <wp:inline distT="0" distB="0" distL="114300" distR="114300">
            <wp:extent cx="5080000" cy="3810000"/>
            <wp:effectExtent l="4445" t="4445" r="20955" b="14605"/>
            <wp:docPr id="10542" name="图表 3" title="{{rep6_yb_data}}"/>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r:id="rId12"/>
              </a:graphicData>
            </a:graphic>
          </wp:inline>
        </w:drawing>
      </w:r>
    </w:p>
    <w:p>
      <w:pPr>
        <w:pStyle w:val="Bodytext|1"/>
        <w:keepNext w:val="0"/>
        <w:keepLines w:val="0"/>
        <w:pageBreakBefore w:val="0"/>
        <w:widowControl w:val="0"/>
        <w:kinsoku/>
        <w:wordWrap/>
        <w:overflowPunct/>
        <w:topLinePunct w:val="0"/>
        <w:autoSpaceDE/>
        <w:autoSpaceDN/>
        <w:bidi w:val="0"/>
        <w:adjustRightInd/>
        <w:snapToGrid/>
        <w:spacing w:line="600" w:lineRule="exact"/>
        <w:ind w:left="0" w:firstLine="640" w:leftChars="0" w:firstLineChars="200"/>
        <w:jc w:val="left"/>
        <w:textAlignment w:val="auto"/>
        <w:rPr>
          <w:rFonts w:ascii="宋体" w:eastAsia="宋体" w:hAnsi="宋体" w:asciiTheme="minorEastAsia" w:eastAsiaTheme="minorEastAsia" w:hAnsiTheme="minorEastAsia" w:cs="Arial" w:cstheme="minorEastAsia" w:hint="eastAsia"/>
          <w:sz w:val="32"/>
          <w:szCs w:val="32"/>
          <w:lang w:val="en-US" w:eastAsia="zh-CN"/>
        </w:rPr>
      </w:pPr>
      <w:r>
        <w:rPr>
          <w:rFonts w:ascii="宋体" w:eastAsia="宋体" w:hAnsi="宋体" w:asciiTheme="minorEastAsia" w:eastAsiaTheme="minorEastAsia" w:hAnsiTheme="minorEastAsia" w:cs="Arial" w:cstheme="minorEastAsia" w:hint="eastAsia"/>
          <w:sz w:val="32"/>
          <w:szCs w:val="32"/>
          <w:lang w:val="en-US" w:eastAsia="zh-CN"/>
        </w:rPr>
        <w:t xml:space="preserve">2024</w:t>
      </w:r>
      <w:r>
        <w:rPr>
          <w:sz w:val="32"/>
          <w:u w:color="auto"/>
        </w:rPr>
        <w:t xml:space="preserve">年</w:t>
      </w:r>
      <w:r>
        <w:rPr>
          <w:rFonts w:ascii="宋体" w:eastAsia="宋体" w:hAnsi="宋体" w:asciiTheme="minorEastAsia" w:eastAsiaTheme="minorEastAsia" w:hAnsiTheme="minorEastAsia" w:cs="Arial" w:cstheme="minorEastAsia" w:hint="eastAsia"/>
          <w:sz w:val="32"/>
          <w:szCs w:val="32"/>
        </w:rPr>
        <w:t xml:space="preserve">一般公共预算基本支出共</w:t>
      </w:r>
      <w:r>
        <w:rPr>
          <w:rFonts w:ascii="宋体" w:eastAsia="宋体" w:hAnsi="宋体" w:asciiTheme="minorEastAsia" w:eastAsiaTheme="minorEastAsia" w:hAnsiTheme="minorEastAsia" w:cs="Arial" w:cstheme="minorEastAsia" w:hint="eastAsia"/>
          <w:sz w:val="32"/>
          <w:szCs w:val="32"/>
          <w:lang w:val="en-US" w:eastAsia="zh-CN"/>
        </w:rPr>
        <w:t xml:space="preserve">103.11</w:t>
      </w:r>
      <w:r>
        <w:rPr>
          <w:rFonts w:ascii="宋体" w:eastAsia="宋体" w:hAnsi="宋体" w:asciiTheme="minorEastAsia" w:eastAsiaTheme="minorEastAsia" w:hAnsiTheme="minorEastAsia" w:cs="Arial" w:cstheme="minorEastAsia" w:hint="eastAsia"/>
          <w:sz w:val="32"/>
          <w:szCs w:val="32"/>
        </w:rPr>
        <w:t xml:space="preserve">万元，较2023年度预算数</w:t>
      </w:r>
      <w:r>
        <w:rPr>
          <w:rFonts w:ascii="宋体" w:eastAsia="宋体" w:hAnsi="宋体" w:asciiTheme="minorEastAsia" w:eastAsiaTheme="minorEastAsia" w:hAnsiTheme="minorEastAsia" w:cs="Arial" w:cstheme="minorEastAsia" w:hint="eastAsia"/>
          <w:sz w:val="32"/>
          <w:szCs w:val="32"/>
          <w:lang w:val="en-US" w:eastAsia="zh-CN"/>
        </w:rPr>
        <w:t xml:space="preserve">130.01</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val="en-US" w:eastAsia="zh-CN"/>
        </w:rPr>
        <w:t xml:space="preserve">,</w:t>
      </w:r>
      <w:r>
        <w:rPr>
          <w:sz w:val="32"/>
          <w:u w:color="auto"/>
        </w:rPr>
        <w:t xml:space="preserve">减少26.90</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val="en-US" w:eastAsia="zh-CN"/>
        </w:rPr>
        <w:t xml:space="preserve">下降20.69%</w:t>
      </w:r>
      <w:r>
        <w:rPr>
          <w:rFonts w:ascii="宋体" w:eastAsia="宋体" w:hAnsi="宋体" w:asciiTheme="minorEastAsia" w:eastAsiaTheme="minorEastAsia" w:hAnsiTheme="minorEastAsia" w:cs="Arial" w:cstheme="minorEastAsia" w:hint="eastAsia"/>
          <w:sz w:val="32"/>
          <w:szCs w:val="32"/>
        </w:rPr>
        <w:t xml:space="preserve">，主要原因是</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较上年减少奖励性绩效科目预算；23年6月一名在职人员调出，9月公开招聘一名在职人员，在职人员工资福利支出增加及社会保障支出基数增加</w:t>
      </w:r>
      <w:r>
        <w:rPr>
          <w:rFonts w:ascii="宋体" w:eastAsia="宋体" w:hAnsi="宋体" w:asciiTheme="minorEastAsia" w:eastAsiaTheme="minorEastAsia" w:hAnsiTheme="minorEastAsia" w:cs="Arial" w:cstheme="minorEastAsia" w:hint="eastAsia"/>
          <w:sz w:val="32"/>
          <w:szCs w:val="32"/>
        </w:rPr>
        <w:t xml:space="preserve">具体情况为：</w:t>
      </w:r>
    </w:p>
    <w:p>
      <w:pPr>
        <w:pStyle w:val="Bodytext|1"/>
        <w:keepNext w:val="0"/>
        <w:keepLines w:val="0"/>
        <w:pageBreakBefore w:val="0"/>
        <w:widowControl w:val="0"/>
        <w:kinsoku/>
        <w:wordWrap/>
        <w:overflowPunct/>
        <w:topLinePunct w:val="0"/>
        <w:autoSpaceDE/>
        <w:autoSpaceDN/>
        <w:bidi w:val="0"/>
        <w:adjustRightInd/>
        <w:snapToGrid/>
        <w:spacing w:line="600" w:lineRule="exact"/>
        <w:ind w:firstLine="600"/>
        <w:jc w:val="left"/>
        <w:textAlignment w:val="auto"/>
        <w:rPr>
          <w:rFonts w:ascii="宋体" w:eastAsia="宋体" w:hAnsi="宋体" w:asciiTheme="minorEastAsia" w:eastAsiaTheme="minorEastAsia" w:hAnsiTheme="minorEastAsia" w:cs="Arial" w:cstheme="minorEastAsia" w:hint="eastAsia"/>
          <w:sz w:val="32"/>
          <w:szCs w:val="32"/>
          <w:lang w:val="en-US" w:eastAsia="zh-CN"/>
        </w:rPr>
      </w:pPr>
      <w:r>
        <w:rPr>
          <w:rFonts w:ascii="宋体" w:eastAsia="宋体" w:hAnsi="宋体" w:asciiTheme="minorEastAsia" w:eastAsiaTheme="minorEastAsia" w:hAnsiTheme="minorEastAsia" w:cs="Arial" w:cstheme="minorEastAsia" w:hint="eastAsia"/>
          <w:sz w:val="32"/>
          <w:szCs w:val="32"/>
          <w:lang w:val="en-US" w:eastAsia="zh-CN"/>
        </w:rPr>
        <w:t xml:space="preserve">工资福利支出</w:t>
      </w:r>
      <w:r>
        <w:rPr>
          <w:rFonts w:ascii="宋体" w:eastAsia="宋体" w:hAnsi="宋体" w:asciiTheme="minorEastAsia" w:eastAsiaTheme="minorEastAsia" w:hAnsiTheme="minorEastAsia" w:cs="Arial" w:cstheme="minorEastAsia" w:hint="eastAsia"/>
          <w:sz w:val="32"/>
          <w:szCs w:val="32"/>
        </w:rPr>
        <w:t xml:space="preserve">预算</w:t>
      </w:r>
      <w:r>
        <w:rPr>
          <w:rFonts w:ascii="宋体" w:eastAsia="宋体" w:hAnsi="宋体" w:asciiTheme="minorEastAsia" w:eastAsiaTheme="minorEastAsia" w:hAnsiTheme="minorEastAsia" w:cs="Arial" w:cstheme="minorEastAsia" w:hint="eastAsia"/>
          <w:sz w:val="32"/>
          <w:szCs w:val="32"/>
          <w:lang w:val="en-US" w:eastAsia="zh-CN"/>
        </w:rPr>
        <w:t xml:space="preserve">101.30</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eastAsia="zh-CN"/>
        </w:rPr>
        <w:t xml:space="preserve">，</w:t>
      </w:r>
      <w:r>
        <w:rPr>
          <w:rFonts w:ascii="宋体" w:eastAsia="宋体" w:hAnsi="宋体" w:asciiTheme="minorEastAsia" w:eastAsiaTheme="minorEastAsia" w:hAnsiTheme="minorEastAsia" w:cs="Arial" w:cstheme="minorEastAsia" w:hint="eastAsia"/>
          <w:sz w:val="32"/>
          <w:szCs w:val="32"/>
        </w:rPr>
        <w:t xml:space="preserve">占基本支出预算的</w:t>
      </w:r>
      <w:r>
        <w:rPr>
          <w:rFonts w:ascii="宋体" w:eastAsia="宋体" w:hAnsi="宋体" w:asciiTheme="minorEastAsia" w:eastAsiaTheme="minorEastAsia" w:hAnsiTheme="minorEastAsia" w:cs="Arial" w:cstheme="minorEastAsia" w:hint="eastAsia"/>
          <w:sz w:val="32"/>
          <w:szCs w:val="32"/>
          <w:lang w:val="en-US" w:eastAsia="zh-CN"/>
        </w:rPr>
        <w:t xml:space="preserve">98.24%</w:t>
      </w:r>
      <w:r>
        <w:rPr>
          <w:rFonts w:ascii="宋体" w:eastAsia="宋体" w:hAnsi="宋体" w:asciiTheme="minorEastAsia" w:eastAsiaTheme="minorEastAsia" w:hAnsiTheme="minorEastAsia" w:cs="Arial" w:cstheme="minorEastAsia" w:hint="eastAsia"/>
          <w:sz w:val="32"/>
          <w:szCs w:val="32"/>
        </w:rPr>
        <w:t xml:space="preserve">，较2023年度预算数</w:t>
      </w:r>
      <w:r>
        <w:rPr>
          <w:rFonts w:ascii="宋体" w:eastAsia="宋体" w:hAnsi="宋体" w:asciiTheme="minorEastAsia" w:eastAsiaTheme="minorEastAsia" w:hAnsiTheme="minorEastAsia" w:cs="Arial" w:cstheme="minorEastAsia" w:hint="eastAsia"/>
          <w:sz w:val="32"/>
          <w:szCs w:val="32"/>
          <w:lang w:val="en-US" w:eastAsia="zh-CN"/>
        </w:rPr>
        <w:t xml:space="preserve">128.38</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val="en-US" w:eastAsia="zh-CN"/>
        </w:rPr>
        <w:t xml:space="preserve">减少27.08</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val="en-US" w:eastAsia="zh-CN"/>
        </w:rPr>
        <w:t xml:space="preserve">下降21.09%</w:t>
      </w:r>
      <w:r>
        <w:rPr>
          <w:rFonts w:ascii="宋体" w:eastAsia="宋体" w:hAnsi="宋体" w:asciiTheme="minorEastAsia" w:eastAsiaTheme="minorEastAsia" w:hAnsiTheme="minorEastAsia" w:cs="Arial" w:cstheme="minorEastAsia" w:hint="eastAsia"/>
          <w:sz w:val="32"/>
          <w:szCs w:val="32"/>
        </w:rPr>
        <w:t xml:space="preserve">，主要原因是：</w:t>
      </w:r>
      <w:r>
        <w:rPr>
          <w:rFonts w:ascii="宋体" w:eastAsia="宋体" w:hAnsi="宋体" w:asciiTheme="minorEastAsia" w:eastAsiaTheme="minorEastAsia" w:hAnsiTheme="minorEastAsia" w:cs="Arial" w:cstheme="minorEastAsia" w:hint="eastAsia"/>
          <w:sz w:val="32"/>
          <w:szCs w:val="32"/>
          <w:highlight w:val="none"/>
        </w:rPr>
        <w:t xml:space="preserve">较上年减少奖励性绩效科目预算；23年6月一名在职人员调出，9月公开招聘一名在职人员，在职人员工资福利支出增加</w:t>
      </w:r>
    </w:p>
    <w:p>
      <w:pPr>
        <w:pStyle w:val="Bodytext|1"/>
        <w:keepNext w:val="0"/>
        <w:keepLines w:val="0"/>
        <w:pageBreakBefore w:val="0"/>
        <w:widowControl w:val="0"/>
        <w:kinsoku/>
        <w:wordWrap/>
        <w:overflowPunct/>
        <w:topLinePunct w:val="0"/>
        <w:autoSpaceDE/>
        <w:autoSpaceDN/>
        <w:bidi w:val="0"/>
        <w:adjustRightInd/>
        <w:snapToGrid/>
        <w:spacing w:line="600" w:lineRule="exact"/>
        <w:ind w:firstLine="600"/>
        <w:jc w:val="left"/>
        <w:textAlignment w:val="auto"/>
        <w:rPr>
          <w:rFonts w:ascii="宋体" w:eastAsia="宋体" w:hAnsi="宋体" w:asciiTheme="minorEastAsia" w:eastAsiaTheme="minorEastAsia" w:hAnsiTheme="minorEastAsia" w:cs="Arial" w:cstheme="minorEastAsia" w:hint="eastAsia"/>
          <w:sz w:val="32"/>
          <w:szCs w:val="32"/>
          <w:lang w:val="en-US" w:eastAsia="zh-CN"/>
        </w:rPr>
      </w:pPr>
      <w:r>
        <w:rPr>
          <w:rFonts w:ascii="宋体" w:eastAsia="宋体" w:hAnsi="宋体" w:asciiTheme="minorEastAsia" w:eastAsiaTheme="minorEastAsia" w:hAnsiTheme="minorEastAsia" w:cs="Arial" w:cstheme="minorEastAsia" w:hint="eastAsia"/>
          <w:sz w:val="32"/>
          <w:szCs w:val="32"/>
          <w:lang w:val="en-US" w:eastAsia="zh-CN"/>
        </w:rPr>
        <w:t xml:space="preserve">商品和服务支出</w:t>
      </w:r>
      <w:r>
        <w:rPr>
          <w:rFonts w:ascii="宋体" w:eastAsia="宋体" w:hAnsi="宋体" w:asciiTheme="minorEastAsia" w:eastAsiaTheme="minorEastAsia" w:hAnsiTheme="minorEastAsia" w:cs="Arial" w:cstheme="minorEastAsia" w:hint="eastAsia"/>
          <w:sz w:val="32"/>
          <w:szCs w:val="32"/>
        </w:rPr>
        <w:t xml:space="preserve">预算</w:t>
      </w:r>
      <w:r>
        <w:rPr>
          <w:rFonts w:ascii="宋体" w:eastAsia="宋体" w:hAnsi="宋体" w:asciiTheme="minorEastAsia" w:eastAsiaTheme="minorEastAsia" w:hAnsiTheme="minorEastAsia" w:cs="Arial" w:cstheme="minorEastAsia" w:hint="eastAsia"/>
          <w:sz w:val="32"/>
          <w:szCs w:val="32"/>
          <w:lang w:val="en-US" w:eastAsia="zh-CN"/>
        </w:rPr>
        <w:t xml:space="preserve">1.81</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eastAsia="zh-CN"/>
        </w:rPr>
        <w:t xml:space="preserve">，</w:t>
      </w:r>
      <w:r>
        <w:rPr>
          <w:rFonts w:ascii="宋体" w:eastAsia="宋体" w:hAnsi="宋体" w:asciiTheme="minorEastAsia" w:eastAsiaTheme="minorEastAsia" w:hAnsiTheme="minorEastAsia" w:cs="Arial" w:cstheme="minorEastAsia" w:hint="eastAsia"/>
          <w:sz w:val="32"/>
          <w:szCs w:val="32"/>
        </w:rPr>
        <w:t xml:space="preserve">占基本支出预算的</w:t>
      </w:r>
      <w:r>
        <w:rPr>
          <w:rFonts w:ascii="宋体" w:eastAsia="宋体" w:hAnsi="宋体" w:asciiTheme="minorEastAsia" w:eastAsiaTheme="minorEastAsia" w:hAnsiTheme="minorEastAsia" w:cs="Arial" w:cstheme="minorEastAsia" w:hint="eastAsia"/>
          <w:sz w:val="32"/>
          <w:szCs w:val="32"/>
          <w:lang w:val="en-US" w:eastAsia="zh-CN"/>
        </w:rPr>
        <w:t xml:space="preserve">1.76%</w:t>
      </w:r>
      <w:r>
        <w:rPr>
          <w:rFonts w:ascii="宋体" w:eastAsia="宋体" w:hAnsi="宋体" w:asciiTheme="minorEastAsia" w:eastAsiaTheme="minorEastAsia" w:hAnsiTheme="minorEastAsia" w:cs="Arial" w:cstheme="minorEastAsia" w:hint="eastAsia"/>
          <w:sz w:val="32"/>
          <w:szCs w:val="32"/>
        </w:rPr>
        <w:t xml:space="preserve">，较2023年度预算数</w:t>
      </w:r>
      <w:r>
        <w:rPr>
          <w:rFonts w:ascii="宋体" w:eastAsia="宋体" w:hAnsi="宋体" w:asciiTheme="minorEastAsia" w:eastAsiaTheme="minorEastAsia" w:hAnsiTheme="minorEastAsia" w:cs="Arial" w:cstheme="minorEastAsia" w:hint="eastAsia"/>
          <w:sz w:val="32"/>
          <w:szCs w:val="32"/>
          <w:lang w:val="en-US" w:eastAsia="zh-CN"/>
        </w:rPr>
        <w:t xml:space="preserve">1.64</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val="en-US" w:eastAsia="zh-CN"/>
        </w:rPr>
        <w:t xml:space="preserve">增加0.17</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val="en-US" w:eastAsia="zh-CN"/>
        </w:rPr>
        <w:t xml:space="preserve">增长10.37%</w:t>
      </w:r>
      <w:r>
        <w:rPr>
          <w:rFonts w:ascii="宋体" w:eastAsia="宋体" w:hAnsi="宋体" w:asciiTheme="minorEastAsia" w:eastAsiaTheme="minorEastAsia" w:hAnsiTheme="minorEastAsia" w:cs="Arial" w:cstheme="minorEastAsia" w:hint="eastAsia"/>
          <w:sz w:val="32"/>
          <w:szCs w:val="32"/>
        </w:rPr>
        <w:t xml:space="preserve">，主要原因是：</w:t>
      </w:r>
      <w:r>
        <w:rPr>
          <w:rFonts w:ascii="宋体" w:eastAsia="宋体" w:hAnsi="宋体" w:asciiTheme="minorEastAsia" w:eastAsiaTheme="minorEastAsia" w:hAnsiTheme="minorEastAsia" w:cs="Arial" w:cstheme="minorEastAsia" w:hint="eastAsia"/>
          <w:sz w:val="32"/>
          <w:szCs w:val="32"/>
          <w:highlight w:val="none"/>
        </w:rPr>
        <w:t xml:space="preserve">23年6月一名在职人员调出，9月公开招聘一名在职人员，在职人员工资基数增加，工会经费科目预算增加</w:t>
      </w:r>
    </w:p>
    <w:p>
      <w:pPr>
        <w:pStyle w:val="Bodytext|2"/>
        <w:spacing w:after="0" w:line="619" w:lineRule="exact"/>
        <w:ind w:firstLine="620"/>
        <w:jc w:val="left"/>
        <w:rPr>
          <w:rFonts w:ascii="宋体" w:eastAsia="宋体" w:hAnsi="宋体" w:asciiTheme="minorEastAsia" w:eastAsiaTheme="minorEastAsia" w:hAnsiTheme="minorEastAsia" w:cs="Arial" w:cstheme="minorEastAsia" w:hint="eastAsia"/>
          <w:b/>
          <w:bCs/>
          <w:sz w:val="32"/>
          <w:szCs w:val="32"/>
        </w:rPr>
      </w:pPr>
      <w:r>
        <w:rPr>
          <w:rFonts w:ascii="宋体" w:eastAsia="宋体" w:hAnsi="宋体" w:asciiTheme="minorEastAsia" w:eastAsiaTheme="minorEastAsia" w:hAnsiTheme="minorEastAsia" w:cs="Arial" w:cstheme="minorEastAsia" w:hint="eastAsia"/>
          <w:b/>
          <w:bCs/>
          <w:sz w:val="32"/>
          <w:szCs w:val="32"/>
          <w:lang w:val="en-US" w:eastAsia="zh-CN"/>
        </w:rPr>
        <w:t xml:space="preserve">七、一般公共预算</w:t>
      </w:r>
      <w:r>
        <w:rPr>
          <w:rFonts w:ascii="宋体" w:eastAsia="宋体" w:hAnsi="宋体" w:asciiTheme="minorEastAsia" w:eastAsiaTheme="minorEastAsia" w:hAnsiTheme="minorEastAsia" w:cs="Arial" w:cstheme="minorEastAsia" w:hint="eastAsia"/>
          <w:b/>
          <w:bCs/>
          <w:sz w:val="32"/>
          <w:szCs w:val="32"/>
          <w:lang w:val="zh-CN" w:eastAsia="zh-CN"/>
        </w:rPr>
        <w:t xml:space="preserve">“三</w:t>
      </w:r>
      <w:r>
        <w:rPr>
          <w:rFonts w:ascii="宋体" w:eastAsia="宋体" w:hAnsi="宋体" w:asciiTheme="minorEastAsia" w:eastAsiaTheme="minorEastAsia" w:hAnsiTheme="minorEastAsia" w:cs="Arial" w:cstheme="minorEastAsia" w:hint="eastAsia"/>
          <w:b/>
          <w:bCs/>
          <w:sz w:val="32"/>
          <w:szCs w:val="32"/>
          <w:lang w:val="en-US" w:eastAsia="zh-CN"/>
        </w:rPr>
        <w:t xml:space="preserve">公”经费支出情况说明</w:t>
      </w:r>
    </w:p>
    <w:p>
      <w:pPr>
        <w:pStyle w:val="Bodytext|2"/>
        <w:spacing w:after="0"/>
        <w:ind w:firstLine="0"/>
        <w:jc w:val="left"/>
        <w:rPr>
          <w:rFonts w:ascii="宋体" w:eastAsia="宋体" w:hAnsi="宋体" w:asciiTheme="minorEastAsia" w:eastAsiaTheme="minorEastAsia" w:hAnsiTheme="minorEastAsia" w:cs="Arial" w:cstheme="minorEastAsia" w:hint="eastAsia"/>
          <w:sz w:val="32"/>
          <w:szCs w:val="32"/>
          <w:highlight w:val="yellow"/>
          <w:lang w:val="en-US" w:eastAsia="zh-CN"/>
        </w:rPr>
      </w:pPr>
      <w:r>
        <w:rPr>
          <w:rFonts w:ascii="宋体" w:eastAsia="宋体" w:hAnsi="宋体" w:asciiTheme="minorEastAsia" w:eastAsiaTheme="minorEastAsia" w:hAnsiTheme="minorEastAsia" w:cs="Arial" w:cstheme="minorEastAsia" w:hint="eastAsia"/>
          <w:sz w:val="32"/>
          <w:szCs w:val="32"/>
          <w:highlight w:val="none"/>
          <w:lang w:val="en-US" w:eastAsia="zh-CN"/>
        </w:rPr>
        <w:drawing>
          <wp:inline distT="0" distB="0" distL="114300" distR="114300">
            <wp:extent cx="5080000" cy="3810000"/>
            <wp:effectExtent l="4445" t="4445" r="5715" b="10795"/>
            <wp:docPr id="10543" name="图表 23" title="{{img_sgzc_ys_data}}"/>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r:id="rId13"/>
              </a:graphicData>
            </a:graphic>
          </wp:inline>
        </w:drawing>
      </w:r>
    </w:p>
    <w:p>
      <w:pPr>
        <w:pStyle w:val="Bodytext|2"/>
        <w:keepNext w:val="0"/>
        <w:keepLines w:val="0"/>
        <w:pageBreakBefore w:val="0"/>
        <w:widowControl w:val="0"/>
        <w:tabs>
          <w:tab w:val="left" w:pos="1253"/>
        </w:tabs>
        <w:kinsoku/>
        <w:wordWrap/>
        <w:overflowPunct/>
        <w:topLinePunct w:val="0"/>
        <w:autoSpaceDE/>
        <w:autoSpaceDN/>
        <w:bidi w:val="0"/>
        <w:adjustRightInd/>
        <w:snapToGrid/>
        <w:spacing w:after="0" w:line="600" w:lineRule="exact"/>
        <w:ind w:firstLine="601"/>
        <w:jc w:val="left"/>
        <w:textAlignment w:val="auto"/>
        <w:rPr>
          <w:rFonts w:ascii="宋体" w:eastAsia="宋体" w:hAnsi="宋体" w:asciiTheme="minorEastAsia" w:eastAsiaTheme="minorEastAsia" w:hAnsiTheme="minorEastAsia" w:cs="Arial" w:cstheme="minorEastAsia" w:hint="eastAsia"/>
          <w:b w:val="0"/>
          <w:bCs w:val="0"/>
          <w:sz w:val="32"/>
          <w:szCs w:val="32"/>
          <w:lang w:eastAsia="zh-CN"/>
        </w:rPr>
      </w:pPr>
      <w:bookmarkStart w:id="14" w:name="bookmark90"/>
      <w:r>
        <w:rPr>
          <w:rFonts w:ascii="宋体" w:eastAsia="宋体" w:hAnsi="宋体" w:asciiTheme="minorEastAsia" w:eastAsiaTheme="minorEastAsia" w:hAnsiTheme="minorEastAsia" w:cs="Arial" w:cstheme="minorEastAsia" w:hint="eastAsia"/>
          <w:b w:val="0"/>
          <w:bCs w:val="0"/>
          <w:sz w:val="32"/>
          <w:szCs w:val="32"/>
          <w:lang w:eastAsia="zh-CN"/>
        </w:rPr>
        <w:t xml:space="preserve">（</w:t>
      </w:r>
      <w:r>
        <w:rPr>
          <w:rFonts w:ascii="宋体" w:eastAsia="宋体" w:hAnsi="宋体" w:asciiTheme="minorEastAsia" w:eastAsiaTheme="minorEastAsia" w:hAnsiTheme="minorEastAsia" w:cs="Arial" w:cstheme="minorEastAsia" w:hint="eastAsia"/>
          <w:b w:val="0"/>
          <w:bCs w:val="0"/>
          <w:sz w:val="32"/>
          <w:szCs w:val="32"/>
          <w:lang w:val="en-US" w:eastAsia="zh-CN"/>
        </w:rPr>
        <w:t xml:space="preserve">一</w:t>
      </w:r>
      <w:r>
        <w:rPr>
          <w:rFonts w:ascii="宋体" w:eastAsia="宋体" w:hAnsi="宋体" w:asciiTheme="minorEastAsia" w:eastAsiaTheme="minorEastAsia" w:hAnsiTheme="minorEastAsia" w:cs="Arial" w:cstheme="minorEastAsia" w:hint="eastAsia"/>
          <w:b w:val="0"/>
          <w:bCs w:val="0"/>
          <w:sz w:val="32"/>
          <w:szCs w:val="32"/>
          <w:lang w:eastAsia="zh-CN"/>
        </w:rPr>
        <w:t xml:space="preserve">）</w:t>
      </w:r>
      <w:r>
        <w:rPr>
          <w:sz w:val="32"/>
          <w:u w:color="auto"/>
        </w:rPr>
        <w:t xml:space="preserve">2024</w:t>
      </w:r>
      <w:r>
        <w:rPr>
          <w:sz w:val="32"/>
          <w:u w:color="auto"/>
        </w:rPr>
        <w:t xml:space="preserve">年部门预算共安排</w:t>
      </w:r>
      <w:r>
        <w:rPr>
          <w:rFonts w:ascii="宋体" w:eastAsia="宋体" w:hAnsi="宋体" w:asciiTheme="minorEastAsia" w:eastAsiaTheme="minorEastAsia" w:hAnsiTheme="minorEastAsia" w:cs="Arial" w:cstheme="minorEastAsia" w:hint="eastAsia"/>
          <w:b w:val="0"/>
          <w:bCs w:val="0"/>
          <w:sz w:val="32"/>
          <w:szCs w:val="32"/>
          <w:lang w:val="zh-CN" w:eastAsia="zh-CN"/>
        </w:rPr>
        <w:t xml:space="preserve">“三公”</w:t>
      </w:r>
      <w:r>
        <w:rPr>
          <w:rFonts w:ascii="宋体" w:eastAsia="宋体" w:hAnsi="宋体" w:asciiTheme="minorEastAsia" w:eastAsiaTheme="minorEastAsia" w:hAnsiTheme="minorEastAsia" w:cs="Arial" w:cstheme="minorEastAsia" w:hint="eastAsia"/>
          <w:b w:val="0"/>
          <w:bCs w:val="0"/>
          <w:sz w:val="32"/>
          <w:szCs w:val="32"/>
          <w:lang w:eastAsia="zh-CN"/>
        </w:rPr>
        <w:t xml:space="preserve">经费支出预算</w:t>
      </w:r>
      <w:r>
        <w:rPr>
          <w:rFonts w:ascii="宋体" w:eastAsia="宋体" w:hAnsi="宋体" w:asciiTheme="minorEastAsia" w:eastAsiaTheme="minorEastAsia" w:hAnsiTheme="minorEastAsia" w:cs="Arial" w:cstheme="minorEastAsia" w:hint="eastAsia"/>
          <w:b w:val="0"/>
          <w:bCs w:val="0"/>
          <w:sz w:val="32"/>
          <w:szCs w:val="32"/>
          <w:lang w:val="en-US" w:eastAsia="zh-CN"/>
        </w:rPr>
        <w:t xml:space="preserve">2.00</w:t>
      </w:r>
      <w:r>
        <w:rPr>
          <w:rFonts w:ascii="宋体" w:eastAsia="宋体" w:hAnsi="宋体" w:asciiTheme="minorEastAsia" w:eastAsiaTheme="minorEastAsia" w:hAnsiTheme="minorEastAsia" w:cs="Arial" w:cstheme="minorEastAsia" w:hint="eastAsia"/>
          <w:b w:val="0"/>
          <w:bCs w:val="0"/>
          <w:sz w:val="32"/>
          <w:szCs w:val="32"/>
          <w:lang w:eastAsia="zh-CN"/>
        </w:rPr>
        <w:t xml:space="preserve">万元（全口径），其中：因公出国（境）经费支出预算</w:t>
      </w:r>
      <w:r>
        <w:rPr>
          <w:rFonts w:ascii="宋体" w:eastAsia="宋体" w:hAnsi="宋体" w:asciiTheme="minorEastAsia" w:eastAsiaTheme="minorEastAsia" w:hAnsiTheme="minorEastAsia" w:cs="Arial" w:cstheme="minorEastAsia" w:hint="eastAsia"/>
          <w:b w:val="0"/>
          <w:bCs w:val="0"/>
          <w:sz w:val="32"/>
          <w:szCs w:val="32"/>
          <w:lang w:val="en-US" w:eastAsia="zh-CN"/>
        </w:rPr>
        <w:t xml:space="preserve">0.00</w:t>
      </w:r>
      <w:r>
        <w:rPr>
          <w:rFonts w:ascii="宋体" w:eastAsia="宋体" w:hAnsi="宋体" w:asciiTheme="minorEastAsia" w:eastAsiaTheme="minorEastAsia" w:hAnsiTheme="minorEastAsia" w:cs="Arial" w:cstheme="minorEastAsia" w:hint="eastAsia"/>
          <w:b w:val="0"/>
          <w:bCs w:val="0"/>
          <w:sz w:val="32"/>
          <w:szCs w:val="32"/>
          <w:lang w:eastAsia="zh-CN"/>
        </w:rPr>
        <w:t xml:space="preserve">万元，公务接待费支出预算</w:t>
      </w:r>
      <w:r>
        <w:rPr>
          <w:rFonts w:ascii="宋体" w:eastAsia="宋体" w:hAnsi="宋体" w:asciiTheme="minorEastAsia" w:eastAsiaTheme="minorEastAsia" w:hAnsiTheme="minorEastAsia" w:cs="Arial" w:cstheme="minorEastAsia" w:hint="eastAsia"/>
          <w:b w:val="0"/>
          <w:bCs w:val="0"/>
          <w:sz w:val="32"/>
          <w:szCs w:val="32"/>
          <w:lang w:val="en-US" w:eastAsia="zh-CN"/>
        </w:rPr>
        <w:t xml:space="preserve">0.00</w:t>
      </w:r>
      <w:r>
        <w:rPr>
          <w:rFonts w:ascii="宋体" w:eastAsia="宋体" w:hAnsi="宋体" w:asciiTheme="minorEastAsia" w:eastAsiaTheme="minorEastAsia" w:hAnsiTheme="minorEastAsia" w:cs="Arial" w:cstheme="minorEastAsia" w:hint="eastAsia"/>
          <w:b w:val="0"/>
          <w:bCs w:val="0"/>
          <w:sz w:val="32"/>
          <w:szCs w:val="32"/>
          <w:lang w:eastAsia="zh-CN"/>
        </w:rPr>
        <w:t xml:space="preserve">万元，公务用车购置及运行费支出预算</w:t>
      </w:r>
      <w:r>
        <w:rPr>
          <w:rFonts w:ascii="宋体" w:eastAsia="宋体" w:hAnsi="宋体" w:asciiTheme="minorEastAsia" w:eastAsiaTheme="minorEastAsia" w:hAnsiTheme="minorEastAsia" w:cs="Arial" w:cstheme="minorEastAsia" w:hint="eastAsia"/>
          <w:b w:val="0"/>
          <w:bCs w:val="0"/>
          <w:sz w:val="32"/>
          <w:szCs w:val="32"/>
          <w:lang w:val="en-US" w:eastAsia="zh-CN"/>
        </w:rPr>
        <w:t xml:space="preserve">2.00</w:t>
      </w:r>
      <w:r>
        <w:rPr>
          <w:rFonts w:ascii="宋体" w:eastAsia="宋体" w:hAnsi="宋体" w:asciiTheme="minorEastAsia" w:eastAsiaTheme="minorEastAsia" w:hAnsiTheme="minorEastAsia" w:cs="Arial" w:cstheme="minorEastAsia" w:hint="eastAsia"/>
          <w:b w:val="0"/>
          <w:bCs w:val="0"/>
          <w:sz w:val="32"/>
          <w:szCs w:val="32"/>
          <w:lang w:eastAsia="zh-CN"/>
        </w:rPr>
        <w:t xml:space="preserve">万元（公务用车购置费</w:t>
      </w:r>
      <w:r>
        <w:rPr>
          <w:rFonts w:ascii="宋体" w:eastAsia="宋体" w:hAnsi="宋体" w:asciiTheme="minorEastAsia" w:eastAsiaTheme="minorEastAsia" w:hAnsiTheme="minorEastAsia" w:cs="Arial" w:cstheme="minorEastAsia" w:hint="eastAsia"/>
          <w:b w:val="0"/>
          <w:bCs w:val="0"/>
          <w:sz w:val="32"/>
          <w:szCs w:val="32"/>
          <w:lang w:val="en-US" w:eastAsia="zh-CN"/>
        </w:rPr>
        <w:t xml:space="preserve">0.00</w:t>
      </w:r>
      <w:r>
        <w:rPr>
          <w:rFonts w:ascii="宋体" w:eastAsia="宋体" w:hAnsi="宋体" w:asciiTheme="minorEastAsia" w:eastAsiaTheme="minorEastAsia" w:hAnsiTheme="minorEastAsia" w:cs="Arial" w:cstheme="minorEastAsia" w:hint="eastAsia"/>
          <w:b w:val="0"/>
          <w:bCs w:val="0"/>
          <w:sz w:val="32"/>
          <w:szCs w:val="32"/>
          <w:lang w:eastAsia="zh-CN"/>
        </w:rPr>
        <w:t xml:space="preserve">万元,公务用车运行维护费</w:t>
      </w:r>
      <w:r>
        <w:rPr>
          <w:rFonts w:ascii="宋体" w:eastAsia="宋体" w:hAnsi="宋体" w:asciiTheme="minorEastAsia" w:eastAsiaTheme="minorEastAsia" w:hAnsiTheme="minorEastAsia" w:cs="Arial" w:cstheme="minorEastAsia" w:hint="eastAsia"/>
          <w:b w:val="0"/>
          <w:bCs w:val="0"/>
          <w:sz w:val="32"/>
          <w:szCs w:val="32"/>
          <w:lang w:val="en-US" w:eastAsia="zh-CN"/>
        </w:rPr>
        <w:t xml:space="preserve">2.00</w:t>
      </w:r>
      <w:r>
        <w:rPr>
          <w:rFonts w:ascii="宋体" w:eastAsia="宋体" w:hAnsi="宋体" w:asciiTheme="minorEastAsia" w:eastAsiaTheme="minorEastAsia" w:hAnsiTheme="minorEastAsia" w:cs="Arial" w:cstheme="minorEastAsia" w:hint="eastAsia"/>
          <w:b w:val="0"/>
          <w:bCs w:val="0"/>
          <w:sz w:val="32"/>
          <w:szCs w:val="32"/>
          <w:lang w:eastAsia="zh-CN"/>
        </w:rPr>
        <w:t xml:space="preserve">万元）。</w:t>
      </w:r>
    </w:p>
    <w:p>
      <w:pPr>
        <w:pStyle w:val="Bodytext|2"/>
        <w:keepNext w:val="0"/>
        <w:keepLines w:val="0"/>
        <w:pageBreakBefore w:val="0"/>
        <w:widowControl w:val="0"/>
        <w:tabs>
          <w:tab w:val="left" w:pos="1253"/>
        </w:tabs>
        <w:kinsoku/>
        <w:wordWrap/>
        <w:overflowPunct/>
        <w:topLinePunct w:val="0"/>
        <w:autoSpaceDE/>
        <w:autoSpaceDN/>
        <w:bidi w:val="0"/>
        <w:adjustRightInd/>
        <w:snapToGrid/>
        <w:spacing w:after="0" w:line="600" w:lineRule="exact"/>
        <w:ind w:firstLine="601"/>
        <w:jc w:val="left"/>
        <w:textAlignment w:val="auto"/>
        <w:rPr>
          <w:rFonts w:ascii="宋体" w:eastAsia="宋体" w:hAnsi="宋体" w:asciiTheme="minorEastAsia" w:eastAsiaTheme="minorEastAsia" w:hAnsiTheme="minorEastAsia" w:cs="Arial" w:cstheme="minorEastAsia" w:hint="eastAsia"/>
          <w:b w:val="0"/>
          <w:bCs w:val="0"/>
          <w:sz w:val="32"/>
          <w:szCs w:val="32"/>
        </w:rPr>
      </w:pPr>
      <w:r>
        <w:rPr>
          <w:rFonts w:ascii="宋体" w:eastAsia="宋体" w:hAnsi="宋体" w:asciiTheme="minorEastAsia" w:eastAsiaTheme="minorEastAsia" w:hAnsiTheme="minorEastAsia" w:cs="Arial" w:cstheme="minorEastAsia" w:hint="eastAsia"/>
          <w:b w:val="0"/>
          <w:bCs w:val="0"/>
          <w:sz w:val="32"/>
          <w:szCs w:val="32"/>
          <w:lang w:eastAsia="zh-CN"/>
        </w:rPr>
        <w:t xml:space="preserve">（</w:t>
      </w:r>
      <w:r>
        <w:rPr>
          <w:rFonts w:ascii="宋体" w:eastAsia="宋体" w:hAnsi="宋体" w:asciiTheme="minorEastAsia" w:eastAsiaTheme="minorEastAsia" w:hAnsiTheme="minorEastAsia" w:cs="Arial" w:cstheme="minorEastAsia" w:hint="eastAsia"/>
          <w:b w:val="0"/>
          <w:bCs w:val="0"/>
          <w:sz w:val="32"/>
          <w:szCs w:val="32"/>
          <w:lang w:val="en-US" w:eastAsia="zh-CN"/>
        </w:rPr>
        <w:t xml:space="preserve">二</w:t>
      </w:r>
      <w:r>
        <w:rPr>
          <w:rFonts w:ascii="宋体" w:eastAsia="宋体" w:hAnsi="宋体" w:asciiTheme="minorEastAsia" w:eastAsiaTheme="minorEastAsia" w:hAnsiTheme="minorEastAsia" w:cs="Arial" w:cstheme="minorEastAsia" w:hint="eastAsia"/>
          <w:b w:val="0"/>
          <w:bCs w:val="0"/>
          <w:sz w:val="32"/>
          <w:szCs w:val="32"/>
          <w:lang w:eastAsia="zh-CN"/>
        </w:rPr>
        <w:t xml:space="preserve">）</w:t>
      </w:r>
      <w:r>
        <w:rPr>
          <w:sz w:val="32"/>
          <w:u w:color="auto"/>
        </w:rPr>
        <w:t xml:space="preserve">2024</w:t>
      </w:r>
      <w:r>
        <w:rPr>
          <w:rFonts w:ascii="宋体" w:eastAsia="宋体" w:hAnsi="宋体" w:asciiTheme="minorEastAsia" w:eastAsiaTheme="minorEastAsia" w:hAnsiTheme="minorEastAsia" w:cs="Arial" w:cstheme="minorEastAsia" w:hint="eastAsia"/>
          <w:b w:val="0"/>
          <w:bCs w:val="0"/>
          <w:sz w:val="32"/>
          <w:szCs w:val="32"/>
        </w:rPr>
        <w:t xml:space="preserve">年一般公共预算安排的“三公”经费支出预算</w:t>
      </w:r>
      <w:r>
        <w:rPr>
          <w:rFonts w:ascii="宋体" w:eastAsia="宋体" w:hAnsi="宋体" w:asciiTheme="minorEastAsia" w:eastAsiaTheme="minorEastAsia" w:hAnsiTheme="minorEastAsia" w:cs="Arial" w:cstheme="minorEastAsia" w:hint="eastAsia"/>
          <w:b w:val="0"/>
          <w:bCs w:val="0"/>
          <w:sz w:val="32"/>
          <w:szCs w:val="32"/>
          <w:lang w:val="en-US" w:eastAsia="zh-CN"/>
        </w:rPr>
        <w:t xml:space="preserve">2.00</w:t>
      </w:r>
      <w:r>
        <w:rPr>
          <w:rFonts w:ascii="宋体" w:eastAsia="宋体" w:hAnsi="宋体" w:asciiTheme="minorEastAsia" w:eastAsiaTheme="minorEastAsia" w:hAnsiTheme="minorEastAsia" w:cs="Arial" w:cstheme="minorEastAsia" w:hint="eastAsia"/>
          <w:b w:val="0"/>
          <w:bCs w:val="0"/>
          <w:sz w:val="32"/>
          <w:szCs w:val="32"/>
        </w:rPr>
        <w:t xml:space="preserve">万元，同口径较2023年度预算数</w:t>
      </w:r>
      <w:r>
        <w:rPr>
          <w:rFonts w:ascii="宋体" w:eastAsia="宋体" w:hAnsi="宋体" w:asciiTheme="minorEastAsia" w:eastAsiaTheme="minorEastAsia" w:hAnsiTheme="minorEastAsia" w:cs="Arial" w:cstheme="minorEastAsia" w:hint="eastAsia"/>
          <w:b w:val="0"/>
          <w:bCs w:val="0"/>
          <w:sz w:val="32"/>
          <w:szCs w:val="32"/>
          <w:lang w:val="en-US" w:eastAsia="zh-CN"/>
        </w:rPr>
        <w:t xml:space="preserve">2.00</w:t>
      </w:r>
      <w:r>
        <w:rPr>
          <w:rFonts w:ascii="宋体" w:eastAsia="宋体" w:hAnsi="宋体" w:asciiTheme="minorEastAsia" w:eastAsiaTheme="minorEastAsia" w:hAnsiTheme="minorEastAsia" w:cs="Arial" w:cstheme="minorEastAsia" w:hint="eastAsia"/>
          <w:b w:val="0"/>
          <w:bCs w:val="0"/>
          <w:sz w:val="32"/>
          <w:szCs w:val="32"/>
        </w:rPr>
        <w:t xml:space="preserve">万元，</w:t>
      </w:r>
      <w:r>
        <w:rPr>
          <w:rFonts w:ascii="宋体" w:eastAsia="宋体" w:hAnsi="宋体" w:asciiTheme="minorEastAsia" w:eastAsiaTheme="minorEastAsia" w:hAnsiTheme="minorEastAsia" w:cs="Arial" w:cstheme="minorEastAsia" w:hint="eastAsia"/>
          <w:b w:val="0"/>
          <w:bCs w:val="0"/>
          <w:sz w:val="32"/>
          <w:szCs w:val="32"/>
          <w:lang w:val="en-US" w:eastAsia="zh-CN"/>
        </w:rPr>
        <w:t xml:space="preserve">增加0.00</w:t>
      </w:r>
      <w:r>
        <w:rPr>
          <w:rFonts w:ascii="宋体" w:eastAsia="宋体" w:hAnsi="宋体" w:asciiTheme="minorEastAsia" w:eastAsiaTheme="minorEastAsia" w:hAnsiTheme="minorEastAsia" w:cs="Arial" w:cstheme="minorEastAsia" w:hint="eastAsia"/>
          <w:b w:val="0"/>
          <w:bCs w:val="0"/>
          <w:sz w:val="32"/>
          <w:szCs w:val="32"/>
        </w:rPr>
        <w:t xml:space="preserve">万元，</w:t>
      </w:r>
      <w:r>
        <w:rPr>
          <w:rFonts w:ascii="宋体" w:eastAsia="宋体" w:hAnsi="宋体" w:asciiTheme="minorEastAsia" w:eastAsiaTheme="minorEastAsia" w:hAnsiTheme="minorEastAsia" w:cs="Arial" w:cstheme="minorEastAsia" w:hint="eastAsia"/>
          <w:b w:val="0"/>
          <w:bCs w:val="0"/>
          <w:sz w:val="32"/>
          <w:szCs w:val="32"/>
          <w:lang w:val="en-US" w:eastAsia="zh-CN"/>
        </w:rPr>
        <w:t xml:space="preserve">增长0.00%</w:t>
      </w:r>
      <w:r>
        <w:rPr>
          <w:rFonts w:ascii="宋体" w:eastAsia="宋体" w:hAnsi="宋体" w:asciiTheme="minorEastAsia" w:eastAsiaTheme="minorEastAsia" w:hAnsiTheme="minorEastAsia" w:cs="Arial" w:cstheme="minorEastAsia" w:hint="eastAsia"/>
          <w:b w:val="0"/>
          <w:bCs w:val="0"/>
          <w:sz w:val="32"/>
          <w:szCs w:val="32"/>
        </w:rPr>
        <w:t xml:space="preserve">，具体如下：</w:t>
      </w:r>
    </w:p>
    <w:p>
      <w:pPr>
        <w:pStyle w:val="Bodytext|2"/>
        <w:keepNext w:val="0"/>
        <w:keepLines w:val="0"/>
        <w:pageBreakBefore w:val="0"/>
        <w:widowControl w:val="0"/>
        <w:tabs>
          <w:tab w:val="left" w:pos="1253"/>
        </w:tabs>
        <w:kinsoku/>
        <w:wordWrap/>
        <w:overflowPunct/>
        <w:topLinePunct w:val="0"/>
        <w:autoSpaceDE/>
        <w:autoSpaceDN/>
        <w:bidi w:val="0"/>
        <w:adjustRightInd/>
        <w:snapToGrid/>
        <w:spacing w:after="0" w:line="600" w:lineRule="exact"/>
        <w:ind w:firstLine="601"/>
        <w:jc w:val="left"/>
        <w:textAlignment w:val="auto"/>
        <w:rPr>
          <w:rFonts w:ascii="宋体" w:eastAsia="宋体" w:hAnsi="宋体" w:asciiTheme="minorEastAsia" w:eastAsiaTheme="minorEastAsia" w:hAnsiTheme="minorEastAsia" w:cs="Arial" w:cstheme="minorEastAsia" w:hint="eastAsia"/>
          <w:b w:val="0"/>
          <w:bCs w:val="0"/>
          <w:sz w:val="32"/>
          <w:szCs w:val="32"/>
          <w:lang w:eastAsia="zh-CN"/>
        </w:rPr>
      </w:pPr>
      <w:r>
        <w:rPr>
          <w:rFonts w:ascii="宋体" w:eastAsia="宋体" w:hAnsi="宋体" w:asciiTheme="minorEastAsia" w:eastAsiaTheme="minorEastAsia" w:hAnsiTheme="minorEastAsia" w:cs="Arial" w:cstheme="minorEastAsia" w:hint="eastAsia"/>
          <w:b w:val="0"/>
          <w:bCs w:val="0"/>
          <w:sz w:val="32"/>
          <w:szCs w:val="32"/>
        </w:rPr>
        <w:t xml:space="preserve">1.因公出国（境）费</w:t>
      </w:r>
      <w:r>
        <w:rPr>
          <w:rFonts w:ascii="宋体" w:eastAsia="宋体" w:hAnsi="宋体" w:asciiTheme="minorEastAsia" w:eastAsiaTheme="minorEastAsia" w:hAnsiTheme="minorEastAsia" w:cs="Arial" w:cstheme="minorEastAsia" w:hint="eastAsia"/>
          <w:b w:val="0"/>
          <w:bCs w:val="0"/>
          <w:sz w:val="32"/>
          <w:szCs w:val="32"/>
          <w:lang w:eastAsia="zh-CN"/>
        </w:rPr>
        <w:t xml:space="preserve">2024</w:t>
      </w:r>
      <w:r>
        <w:rPr>
          <w:rFonts w:ascii="宋体" w:eastAsia="宋体" w:hAnsi="宋体" w:asciiTheme="minorEastAsia" w:eastAsiaTheme="minorEastAsia" w:hAnsiTheme="minorEastAsia" w:cs="Arial" w:cstheme="minorEastAsia" w:hint="eastAsia"/>
          <w:b w:val="0"/>
          <w:bCs w:val="0"/>
          <w:sz w:val="32"/>
          <w:szCs w:val="32"/>
        </w:rPr>
        <w:t xml:space="preserve">年预算安排</w:t>
      </w:r>
      <w:r>
        <w:rPr>
          <w:sz w:val="32"/>
          <w:u w:color="auto"/>
        </w:rPr>
        <w:t xml:space="preserve">0.00</w:t>
      </w:r>
      <w:r>
        <w:rPr>
          <w:rFonts w:ascii="宋体" w:eastAsia="宋体" w:hAnsi="宋体" w:asciiTheme="minorEastAsia" w:eastAsiaTheme="minorEastAsia" w:hAnsiTheme="minorEastAsia" w:cs="Arial" w:cstheme="minorEastAsia" w:hint="eastAsia"/>
          <w:b w:val="0"/>
          <w:bCs w:val="0"/>
          <w:sz w:val="32"/>
          <w:szCs w:val="32"/>
        </w:rPr>
        <w:t xml:space="preserve">万元，较2023年度预算数</w:t>
      </w:r>
      <w:r>
        <w:rPr>
          <w:sz w:val="32"/>
          <w:u w:color="auto"/>
        </w:rPr>
        <w:t xml:space="preserve">0.00</w:t>
      </w:r>
      <w:r>
        <w:rPr>
          <w:rFonts w:ascii="宋体" w:eastAsia="宋体" w:hAnsi="宋体" w:asciiTheme="minorEastAsia" w:eastAsiaTheme="minorEastAsia" w:hAnsiTheme="minorEastAsia" w:cs="Arial" w:cstheme="minorEastAsia" w:hint="eastAsia"/>
          <w:b w:val="0"/>
          <w:bCs w:val="0"/>
          <w:sz w:val="32"/>
          <w:szCs w:val="32"/>
        </w:rPr>
        <w:t xml:space="preserve">万元，</w:t>
      </w:r>
      <w:r>
        <w:rPr>
          <w:sz w:val="32"/>
          <w:u w:color="auto"/>
        </w:rPr>
        <w:t xml:space="preserve">增加0.00</w:t>
      </w:r>
      <w:r>
        <w:rPr>
          <w:rFonts w:ascii="宋体" w:eastAsia="宋体" w:hAnsi="宋体" w:asciiTheme="minorEastAsia" w:eastAsiaTheme="minorEastAsia" w:hAnsiTheme="minorEastAsia" w:cs="Arial" w:cstheme="minorEastAsia" w:hint="eastAsia"/>
          <w:b w:val="0"/>
          <w:bCs w:val="0"/>
          <w:sz w:val="32"/>
          <w:szCs w:val="32"/>
        </w:rPr>
        <w:t xml:space="preserve">万元，</w:t>
      </w:r>
      <w:r>
        <w:rPr>
          <w:sz w:val="32"/>
          <w:u w:color="auto"/>
        </w:rPr>
        <w:t xml:space="preserve">增长0%</w:t>
      </w:r>
      <w:r>
        <w:rPr>
          <w:rFonts w:ascii="宋体" w:eastAsia="宋体" w:hAnsi="宋体" w:asciiTheme="minorEastAsia" w:eastAsiaTheme="minorEastAsia" w:hAnsiTheme="minorEastAsia" w:cs="Arial" w:cstheme="minorEastAsia" w:hint="eastAsia"/>
          <w:b w:val="0"/>
          <w:bCs w:val="0"/>
          <w:sz w:val="32"/>
          <w:szCs w:val="32"/>
        </w:rPr>
        <w:t xml:space="preserve">，主要原因是</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无此项目预算</w:t>
      </w:r>
      <w:r>
        <w:rPr>
          <w:rFonts w:ascii="宋体" w:eastAsia="宋体" w:hAnsi="宋体" w:asciiTheme="minorEastAsia" w:eastAsiaTheme="minorEastAsia" w:hAnsiTheme="minorEastAsia" w:cs="Arial" w:cstheme="minorEastAsia" w:hint="eastAsia"/>
          <w:b w:val="0"/>
          <w:bCs w:val="0"/>
          <w:sz w:val="32"/>
          <w:szCs w:val="32"/>
        </w:rPr>
        <w:t xml:space="preserve">。</w:t>
      </w:r>
    </w:p>
    <w:p>
      <w:pPr>
        <w:pStyle w:val="Bodytext|2"/>
        <w:keepNext w:val="0"/>
        <w:keepLines w:val="0"/>
        <w:pageBreakBefore w:val="0"/>
        <w:widowControl w:val="0"/>
        <w:tabs>
          <w:tab w:val="left" w:pos="1253"/>
        </w:tabs>
        <w:kinsoku/>
        <w:wordWrap/>
        <w:overflowPunct/>
        <w:topLinePunct w:val="0"/>
        <w:autoSpaceDE/>
        <w:autoSpaceDN/>
        <w:bidi w:val="0"/>
        <w:adjustRightInd/>
        <w:snapToGrid/>
        <w:spacing w:after="0" w:line="600" w:lineRule="exact"/>
        <w:ind w:firstLine="601"/>
        <w:jc w:val="left"/>
        <w:textAlignment w:val="auto"/>
        <w:rPr>
          <w:rFonts w:ascii="宋体" w:eastAsia="宋体" w:hAnsi="宋体" w:asciiTheme="minorEastAsia" w:eastAsiaTheme="minorEastAsia" w:hAnsiTheme="minorEastAsia" w:cs="Arial" w:cstheme="minorEastAsia" w:hint="eastAsia"/>
          <w:b w:val="0"/>
          <w:bCs w:val="0"/>
          <w:sz w:val="32"/>
          <w:szCs w:val="32"/>
          <w:lang w:eastAsia="zh-CN"/>
        </w:rPr>
      </w:pPr>
      <w:r>
        <w:rPr>
          <w:rFonts w:ascii="宋体" w:eastAsia="宋体" w:hAnsi="宋体" w:asciiTheme="minorEastAsia" w:eastAsiaTheme="minorEastAsia" w:hAnsiTheme="minorEastAsia" w:cs="Arial" w:cstheme="minorEastAsia" w:hint="eastAsia"/>
          <w:b w:val="0"/>
          <w:bCs w:val="0"/>
          <w:sz w:val="32"/>
          <w:szCs w:val="32"/>
        </w:rPr>
        <w:t xml:space="preserve">2.公务接待费</w:t>
      </w:r>
      <w:r>
        <w:rPr>
          <w:rFonts w:ascii="宋体" w:eastAsia="宋体" w:hAnsi="宋体" w:asciiTheme="minorEastAsia" w:eastAsiaTheme="minorEastAsia" w:hAnsiTheme="minorEastAsia" w:cs="Arial" w:cstheme="minorEastAsia" w:hint="eastAsia"/>
          <w:b w:val="0"/>
          <w:bCs w:val="0"/>
          <w:sz w:val="32"/>
          <w:szCs w:val="32"/>
          <w:lang w:eastAsia="zh-CN"/>
        </w:rPr>
        <w:t xml:space="preserve">2024</w:t>
      </w:r>
      <w:r>
        <w:rPr>
          <w:rFonts w:ascii="宋体" w:eastAsia="宋体" w:hAnsi="宋体" w:asciiTheme="minorEastAsia" w:eastAsiaTheme="minorEastAsia" w:hAnsiTheme="minorEastAsia" w:cs="Arial" w:cstheme="minorEastAsia" w:hint="eastAsia"/>
          <w:b w:val="0"/>
          <w:bCs w:val="0"/>
          <w:sz w:val="32"/>
          <w:szCs w:val="32"/>
        </w:rPr>
        <w:t xml:space="preserve">年预算安排</w:t>
      </w:r>
      <w:r>
        <w:rPr>
          <w:sz w:val="32"/>
          <w:u w:color="auto"/>
        </w:rPr>
        <w:t xml:space="preserve">0.00</w:t>
      </w:r>
      <w:r>
        <w:rPr>
          <w:rFonts w:ascii="宋体" w:eastAsia="宋体" w:hAnsi="宋体" w:asciiTheme="minorEastAsia" w:eastAsiaTheme="minorEastAsia" w:hAnsiTheme="minorEastAsia" w:cs="Arial" w:cstheme="minorEastAsia" w:hint="eastAsia"/>
          <w:b w:val="0"/>
          <w:bCs w:val="0"/>
          <w:sz w:val="32"/>
          <w:szCs w:val="32"/>
        </w:rPr>
        <w:t xml:space="preserve">万元，较2023年度预算数</w:t>
      </w:r>
      <w:r>
        <w:rPr>
          <w:sz w:val="32"/>
          <w:u w:color="auto"/>
        </w:rPr>
        <w:t xml:space="preserve">0.00</w:t>
      </w:r>
      <w:r>
        <w:rPr>
          <w:rFonts w:ascii="宋体" w:eastAsia="宋体" w:hAnsi="宋体" w:asciiTheme="minorEastAsia" w:eastAsiaTheme="minorEastAsia" w:hAnsiTheme="minorEastAsia" w:cs="Arial" w:cstheme="minorEastAsia" w:hint="eastAsia"/>
          <w:b w:val="0"/>
          <w:bCs w:val="0"/>
          <w:sz w:val="32"/>
          <w:szCs w:val="32"/>
        </w:rPr>
        <w:t xml:space="preserve">万元，</w:t>
      </w:r>
      <w:r>
        <w:rPr>
          <w:sz w:val="32"/>
          <w:u w:color="auto"/>
        </w:rPr>
        <w:t xml:space="preserve">增加0.00</w:t>
      </w:r>
      <w:r>
        <w:rPr>
          <w:rFonts w:ascii="宋体" w:eastAsia="宋体" w:hAnsi="宋体" w:asciiTheme="minorEastAsia" w:eastAsiaTheme="minorEastAsia" w:hAnsiTheme="minorEastAsia" w:cs="Arial" w:cstheme="minorEastAsia" w:hint="eastAsia"/>
          <w:b w:val="0"/>
          <w:bCs w:val="0"/>
          <w:sz w:val="32"/>
          <w:szCs w:val="32"/>
        </w:rPr>
        <w:t xml:space="preserve">万元，</w:t>
      </w:r>
      <w:r>
        <w:rPr>
          <w:sz w:val="32"/>
          <w:u w:color="auto"/>
        </w:rPr>
        <w:t xml:space="preserve">增长0%</w:t>
      </w:r>
      <w:r>
        <w:rPr>
          <w:rFonts w:ascii="宋体" w:eastAsia="宋体" w:hAnsi="宋体" w:asciiTheme="minorEastAsia" w:eastAsiaTheme="minorEastAsia" w:hAnsiTheme="minorEastAsia" w:cs="Arial" w:cstheme="minorEastAsia" w:hint="eastAsia"/>
          <w:b w:val="0"/>
          <w:bCs w:val="0"/>
          <w:sz w:val="32"/>
          <w:szCs w:val="32"/>
        </w:rPr>
        <w:t xml:space="preserve">，主要原因是</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无此项目预算</w:t>
      </w:r>
      <w:r>
        <w:rPr>
          <w:rFonts w:ascii="宋体" w:eastAsia="宋体" w:hAnsi="宋体" w:asciiTheme="minorEastAsia" w:eastAsiaTheme="minorEastAsia" w:hAnsiTheme="minorEastAsia" w:cs="Arial" w:cstheme="minorEastAsia" w:hint="eastAsia"/>
          <w:b w:val="0"/>
          <w:bCs w:val="0"/>
          <w:sz w:val="32"/>
          <w:szCs w:val="32"/>
        </w:rPr>
        <w:t xml:space="preserve">。</w:t>
      </w:r>
    </w:p>
    <w:p>
      <w:pPr>
        <w:pStyle w:val="Bodytext|2"/>
        <w:keepNext w:val="0"/>
        <w:keepLines w:val="0"/>
        <w:pageBreakBefore w:val="0"/>
        <w:widowControl w:val="0"/>
        <w:tabs>
          <w:tab w:val="left" w:pos="1253"/>
        </w:tabs>
        <w:kinsoku/>
        <w:wordWrap/>
        <w:overflowPunct/>
        <w:topLinePunct w:val="0"/>
        <w:autoSpaceDE/>
        <w:autoSpaceDN/>
        <w:bidi w:val="0"/>
        <w:adjustRightInd/>
        <w:snapToGrid/>
        <w:spacing w:after="0" w:line="600" w:lineRule="exact"/>
        <w:ind w:firstLine="601"/>
        <w:jc w:val="left"/>
        <w:textAlignment w:val="auto"/>
        <w:rPr>
          <w:rFonts w:ascii="宋体" w:eastAsia="宋体" w:hAnsi="宋体" w:asciiTheme="minorEastAsia" w:eastAsiaTheme="minorEastAsia" w:hAnsiTheme="minorEastAsia" w:cs="Arial" w:cstheme="minorEastAsia" w:hint="eastAsia"/>
          <w:b w:val="0"/>
          <w:bCs w:val="0"/>
          <w:sz w:val="32"/>
          <w:szCs w:val="32"/>
        </w:rPr>
      </w:pPr>
      <w:r>
        <w:rPr>
          <w:rFonts w:ascii="宋体" w:eastAsia="宋体" w:hAnsi="宋体" w:asciiTheme="minorEastAsia" w:eastAsiaTheme="minorEastAsia" w:hAnsiTheme="minorEastAsia" w:cs="Arial" w:cstheme="minorEastAsia" w:hint="eastAsia"/>
          <w:b w:val="0"/>
          <w:bCs w:val="0"/>
          <w:sz w:val="32"/>
          <w:szCs w:val="32"/>
        </w:rPr>
        <w:t xml:space="preserve">3.公务用车购置及运行费</w:t>
      </w:r>
      <w:r>
        <w:rPr>
          <w:rFonts w:ascii="宋体" w:eastAsia="宋体" w:hAnsi="宋体" w:asciiTheme="minorEastAsia" w:eastAsiaTheme="minorEastAsia" w:hAnsiTheme="minorEastAsia" w:cs="Arial" w:cstheme="minorEastAsia" w:hint="eastAsia"/>
          <w:b w:val="0"/>
          <w:bCs w:val="0"/>
          <w:sz w:val="32"/>
          <w:szCs w:val="32"/>
          <w:lang w:eastAsia="zh-CN"/>
        </w:rPr>
        <w:t xml:space="preserve">2024</w:t>
      </w:r>
      <w:r>
        <w:rPr>
          <w:rFonts w:ascii="宋体" w:eastAsia="宋体" w:hAnsi="宋体" w:asciiTheme="minorEastAsia" w:eastAsiaTheme="minorEastAsia" w:hAnsiTheme="minorEastAsia" w:cs="Arial" w:cstheme="minorEastAsia" w:hint="eastAsia"/>
          <w:b w:val="0"/>
          <w:bCs w:val="0"/>
          <w:sz w:val="32"/>
          <w:szCs w:val="32"/>
        </w:rPr>
        <w:t xml:space="preserve">年预算安排</w:t>
      </w:r>
      <w:r>
        <w:rPr>
          <w:sz w:val="32"/>
          <w:u w:color="auto"/>
        </w:rPr>
        <w:t xml:space="preserve">2.00</w:t>
      </w:r>
      <w:r>
        <w:rPr>
          <w:rFonts w:ascii="宋体" w:eastAsia="宋体" w:hAnsi="宋体" w:asciiTheme="minorEastAsia" w:eastAsiaTheme="minorEastAsia" w:hAnsiTheme="minorEastAsia" w:cs="Arial" w:cstheme="minorEastAsia" w:hint="eastAsia"/>
          <w:b w:val="0"/>
          <w:bCs w:val="0"/>
          <w:sz w:val="32"/>
          <w:szCs w:val="32"/>
        </w:rPr>
        <w:t xml:space="preserve">万元，较2023年度预算数</w:t>
      </w:r>
      <w:r>
        <w:rPr>
          <w:sz w:val="32"/>
          <w:u w:color="auto"/>
        </w:rPr>
        <w:t xml:space="preserve">2.00</w:t>
      </w:r>
      <w:r>
        <w:rPr>
          <w:rFonts w:ascii="宋体" w:eastAsia="宋体" w:hAnsi="宋体" w:asciiTheme="minorEastAsia" w:eastAsiaTheme="minorEastAsia" w:hAnsiTheme="minorEastAsia" w:cs="Arial" w:cstheme="minorEastAsia" w:hint="eastAsia"/>
          <w:b w:val="0"/>
          <w:bCs w:val="0"/>
          <w:sz w:val="32"/>
          <w:szCs w:val="32"/>
        </w:rPr>
        <w:t xml:space="preserve">万元，</w:t>
      </w:r>
      <w:r>
        <w:rPr>
          <w:sz w:val="32"/>
          <w:u w:color="auto"/>
        </w:rPr>
        <w:t xml:space="preserve">增加0.00</w:t>
      </w:r>
      <w:r>
        <w:rPr>
          <w:rFonts w:ascii="宋体" w:eastAsia="宋体" w:hAnsi="宋体" w:asciiTheme="minorEastAsia" w:eastAsiaTheme="minorEastAsia" w:hAnsiTheme="minorEastAsia" w:cs="Arial" w:cstheme="minorEastAsia" w:hint="eastAsia"/>
          <w:b w:val="0"/>
          <w:bCs w:val="0"/>
          <w:sz w:val="32"/>
          <w:szCs w:val="32"/>
        </w:rPr>
        <w:t xml:space="preserve">万元，</w:t>
      </w:r>
      <w:r>
        <w:rPr>
          <w:sz w:val="32"/>
          <w:u w:color="auto"/>
        </w:rPr>
        <w:t xml:space="preserve">增长0.00%</w:t>
      </w:r>
      <w:r>
        <w:rPr>
          <w:rFonts w:ascii="宋体" w:eastAsia="宋体" w:hAnsi="宋体" w:asciiTheme="minorEastAsia" w:eastAsiaTheme="minorEastAsia" w:hAnsiTheme="minorEastAsia" w:cs="Arial" w:cstheme="minorEastAsia" w:hint="eastAsia"/>
          <w:b w:val="0"/>
          <w:bCs w:val="0"/>
          <w:sz w:val="32"/>
          <w:szCs w:val="32"/>
        </w:rPr>
        <w:t xml:space="preserve">，其中：</w:t>
      </w:r>
    </w:p>
    <w:p>
      <w:pPr>
        <w:pStyle w:val="Bodytext|2"/>
        <w:keepNext w:val="0"/>
        <w:keepLines w:val="0"/>
        <w:pageBreakBefore w:val="0"/>
        <w:widowControl w:val="0"/>
        <w:tabs>
          <w:tab w:val="left" w:pos="1253"/>
        </w:tabs>
        <w:kinsoku/>
        <w:wordWrap/>
        <w:overflowPunct/>
        <w:topLinePunct w:val="0"/>
        <w:autoSpaceDE/>
        <w:autoSpaceDN/>
        <w:bidi w:val="0"/>
        <w:adjustRightInd/>
        <w:snapToGrid/>
        <w:spacing w:after="0" w:line="600" w:lineRule="exact"/>
        <w:ind w:firstLine="601"/>
        <w:jc w:val="left"/>
        <w:textAlignment w:val="auto"/>
        <w:rPr>
          <w:rFonts w:ascii="宋体" w:eastAsia="宋体" w:hAnsi="宋体" w:asciiTheme="minorEastAsia" w:eastAsiaTheme="minorEastAsia" w:hAnsiTheme="minorEastAsia" w:cs="Arial" w:cstheme="minorEastAsia" w:hint="eastAsia"/>
          <w:b w:val="0"/>
          <w:bCs w:val="0"/>
          <w:sz w:val="32"/>
          <w:szCs w:val="32"/>
          <w:lang w:eastAsia="zh-CN"/>
        </w:rPr>
      </w:pPr>
      <w:r>
        <w:rPr>
          <w:rFonts w:ascii="宋体" w:eastAsia="宋体" w:hAnsi="宋体" w:asciiTheme="minorEastAsia" w:eastAsiaTheme="minorEastAsia" w:hAnsiTheme="minorEastAsia" w:cs="Arial" w:cstheme="minorEastAsia" w:hint="eastAsia"/>
          <w:b w:val="0"/>
          <w:bCs w:val="0"/>
          <w:sz w:val="32"/>
          <w:szCs w:val="32"/>
        </w:rPr>
        <w:t xml:space="preserve">公务用车购置费</w:t>
      </w:r>
      <w:r>
        <w:rPr>
          <w:rFonts w:ascii="宋体" w:eastAsia="宋体" w:hAnsi="宋体" w:asciiTheme="minorEastAsia" w:eastAsiaTheme="minorEastAsia" w:hAnsiTheme="minorEastAsia" w:cs="Arial" w:cstheme="minorEastAsia" w:hint="eastAsia"/>
          <w:b w:val="0"/>
          <w:bCs w:val="0"/>
          <w:sz w:val="32"/>
          <w:szCs w:val="32"/>
          <w:lang w:eastAsia="zh-CN"/>
        </w:rPr>
        <w:t xml:space="preserve">2024</w:t>
      </w:r>
      <w:r>
        <w:rPr>
          <w:rFonts w:ascii="宋体" w:eastAsia="宋体" w:hAnsi="宋体" w:asciiTheme="minorEastAsia" w:eastAsiaTheme="minorEastAsia" w:hAnsiTheme="minorEastAsia" w:cs="Arial" w:cstheme="minorEastAsia" w:hint="eastAsia"/>
          <w:b w:val="0"/>
          <w:bCs w:val="0"/>
          <w:sz w:val="32"/>
          <w:szCs w:val="32"/>
        </w:rPr>
        <w:t xml:space="preserve">年预算安排</w:t>
      </w:r>
      <w:r>
        <w:rPr>
          <w:sz w:val="32"/>
          <w:u w:color="auto"/>
        </w:rPr>
        <w:t xml:space="preserve">0.00</w:t>
      </w:r>
      <w:r>
        <w:rPr>
          <w:rFonts w:ascii="宋体" w:eastAsia="宋体" w:hAnsi="宋体" w:asciiTheme="minorEastAsia" w:eastAsiaTheme="minorEastAsia" w:hAnsiTheme="minorEastAsia" w:cs="Arial" w:cstheme="minorEastAsia" w:hint="eastAsia"/>
          <w:b w:val="0"/>
          <w:bCs w:val="0"/>
          <w:sz w:val="32"/>
          <w:szCs w:val="32"/>
        </w:rPr>
        <w:t xml:space="preserve">万元，较2023年度预算数</w:t>
      </w:r>
      <w:r>
        <w:rPr>
          <w:sz w:val="32"/>
          <w:u w:color="auto"/>
        </w:rPr>
        <w:t xml:space="preserve">0.00</w:t>
      </w:r>
      <w:r>
        <w:rPr>
          <w:rFonts w:ascii="宋体" w:eastAsia="宋体" w:hAnsi="宋体" w:asciiTheme="minorEastAsia" w:eastAsiaTheme="minorEastAsia" w:hAnsiTheme="minorEastAsia" w:cs="Arial" w:cstheme="minorEastAsia" w:hint="eastAsia"/>
          <w:b w:val="0"/>
          <w:bCs w:val="0"/>
          <w:sz w:val="32"/>
          <w:szCs w:val="32"/>
        </w:rPr>
        <w:t xml:space="preserve">万元，</w:t>
      </w:r>
      <w:r>
        <w:rPr>
          <w:sz w:val="32"/>
          <w:u w:color="auto"/>
        </w:rPr>
        <w:t xml:space="preserve">增加0.00</w:t>
      </w:r>
      <w:r>
        <w:rPr>
          <w:rFonts w:ascii="宋体" w:eastAsia="宋体" w:hAnsi="宋体" w:asciiTheme="minorEastAsia" w:eastAsiaTheme="minorEastAsia" w:hAnsiTheme="minorEastAsia" w:cs="Arial" w:cstheme="minorEastAsia" w:hint="eastAsia"/>
          <w:b w:val="0"/>
          <w:bCs w:val="0"/>
          <w:sz w:val="32"/>
          <w:szCs w:val="32"/>
        </w:rPr>
        <w:t xml:space="preserve">万元，</w:t>
      </w:r>
      <w:r>
        <w:rPr>
          <w:sz w:val="32"/>
          <w:u w:color="auto"/>
        </w:rPr>
        <w:t xml:space="preserve">增长0%</w:t>
      </w:r>
      <w:r>
        <w:rPr>
          <w:rFonts w:ascii="宋体" w:eastAsia="宋体" w:hAnsi="宋体" w:asciiTheme="minorEastAsia" w:eastAsiaTheme="minorEastAsia" w:hAnsiTheme="minorEastAsia" w:cs="Arial" w:cstheme="minorEastAsia" w:hint="eastAsia"/>
          <w:b w:val="0"/>
          <w:bCs w:val="0"/>
          <w:sz w:val="32"/>
          <w:szCs w:val="32"/>
        </w:rPr>
        <w:t xml:space="preserve">，主要原因是</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无此项目预算</w:t>
      </w:r>
      <w:r>
        <w:rPr>
          <w:rFonts w:ascii="宋体" w:eastAsia="宋体" w:hAnsi="宋体" w:asciiTheme="minorEastAsia" w:eastAsiaTheme="minorEastAsia" w:hAnsiTheme="minorEastAsia" w:cs="Arial" w:cstheme="minorEastAsia" w:hint="eastAsia"/>
          <w:b w:val="0"/>
          <w:bCs w:val="0"/>
          <w:sz w:val="32"/>
          <w:szCs w:val="32"/>
        </w:rPr>
        <w:t xml:space="preserve">。</w:t>
      </w:r>
    </w:p>
    <w:p>
      <w:pPr>
        <w:pStyle w:val="Bodytext|2"/>
        <w:keepNext w:val="0"/>
        <w:keepLines w:val="0"/>
        <w:pageBreakBefore w:val="0"/>
        <w:widowControl w:val="0"/>
        <w:tabs>
          <w:tab w:val="left" w:pos="1253"/>
        </w:tabs>
        <w:kinsoku/>
        <w:wordWrap/>
        <w:overflowPunct/>
        <w:topLinePunct w:val="0"/>
        <w:autoSpaceDE/>
        <w:autoSpaceDN/>
        <w:bidi w:val="0"/>
        <w:adjustRightInd/>
        <w:snapToGrid/>
        <w:spacing w:after="0" w:line="600" w:lineRule="exact"/>
        <w:ind w:firstLine="601"/>
        <w:jc w:val="left"/>
        <w:textAlignment w:val="auto"/>
        <w:rPr>
          <w:rFonts w:ascii="宋体" w:eastAsia="宋体" w:hAnsi="宋体" w:asciiTheme="minorEastAsia" w:eastAsiaTheme="minorEastAsia" w:hAnsiTheme="minorEastAsia" w:cs="Arial" w:cstheme="minorEastAsia" w:hint="eastAsia"/>
          <w:b w:val="0"/>
          <w:bCs w:val="0"/>
          <w:sz w:val="32"/>
          <w:szCs w:val="32"/>
        </w:rPr>
      </w:pPr>
      <w:r>
        <w:rPr>
          <w:rFonts w:ascii="宋体" w:eastAsia="宋体" w:hAnsi="宋体" w:asciiTheme="minorEastAsia" w:eastAsiaTheme="minorEastAsia" w:hAnsiTheme="minorEastAsia" w:cs="Arial" w:cstheme="minorEastAsia" w:hint="eastAsia"/>
          <w:b w:val="0"/>
          <w:bCs w:val="0"/>
          <w:sz w:val="32"/>
          <w:szCs w:val="32"/>
        </w:rPr>
        <w:t xml:space="preserve">公务用车运行维护费</w:t>
      </w:r>
      <w:r>
        <w:rPr>
          <w:rFonts w:ascii="宋体" w:eastAsia="宋体" w:hAnsi="宋体" w:asciiTheme="minorEastAsia" w:eastAsiaTheme="minorEastAsia" w:hAnsiTheme="minorEastAsia" w:cs="Arial" w:cstheme="minorEastAsia" w:hint="eastAsia"/>
          <w:b w:val="0"/>
          <w:bCs w:val="0"/>
          <w:sz w:val="32"/>
          <w:szCs w:val="32"/>
          <w:lang w:eastAsia="zh-CN"/>
        </w:rPr>
        <w:t xml:space="preserve">2024</w:t>
      </w:r>
      <w:r>
        <w:rPr>
          <w:rFonts w:ascii="宋体" w:eastAsia="宋体" w:hAnsi="宋体" w:asciiTheme="minorEastAsia" w:eastAsiaTheme="minorEastAsia" w:hAnsiTheme="minorEastAsia" w:cs="Arial" w:cstheme="minorEastAsia" w:hint="eastAsia"/>
          <w:b w:val="0"/>
          <w:bCs w:val="0"/>
          <w:sz w:val="32"/>
          <w:szCs w:val="32"/>
        </w:rPr>
        <w:t xml:space="preserve">年预算安排</w:t>
      </w:r>
      <w:r>
        <w:rPr>
          <w:sz w:val="32"/>
          <w:u w:color="auto"/>
        </w:rPr>
        <w:t xml:space="preserve">2.00</w:t>
      </w:r>
      <w:r>
        <w:rPr>
          <w:rFonts w:ascii="宋体" w:eastAsia="宋体" w:hAnsi="宋体" w:asciiTheme="minorEastAsia" w:eastAsiaTheme="minorEastAsia" w:hAnsiTheme="minorEastAsia" w:cs="Arial" w:cstheme="minorEastAsia" w:hint="eastAsia"/>
          <w:b w:val="0"/>
          <w:bCs w:val="0"/>
          <w:sz w:val="32"/>
          <w:szCs w:val="32"/>
        </w:rPr>
        <w:t xml:space="preserve">万元，较2023年度预算数</w:t>
      </w:r>
      <w:r>
        <w:rPr>
          <w:sz w:val="32"/>
          <w:u w:color="auto"/>
        </w:rPr>
        <w:t xml:space="preserve">2.00</w:t>
      </w:r>
      <w:r>
        <w:rPr>
          <w:rFonts w:ascii="宋体" w:eastAsia="宋体" w:hAnsi="宋体" w:asciiTheme="minorEastAsia" w:eastAsiaTheme="minorEastAsia" w:hAnsiTheme="minorEastAsia" w:cs="Arial" w:cstheme="minorEastAsia" w:hint="eastAsia"/>
          <w:b w:val="0"/>
          <w:bCs w:val="0"/>
          <w:sz w:val="32"/>
          <w:szCs w:val="32"/>
        </w:rPr>
        <w:t xml:space="preserve">万元，</w:t>
      </w:r>
      <w:r>
        <w:rPr>
          <w:sz w:val="32"/>
          <w:u w:color="auto"/>
        </w:rPr>
        <w:t xml:space="preserve">增加0.00</w:t>
      </w:r>
      <w:r>
        <w:rPr>
          <w:rFonts w:ascii="宋体" w:eastAsia="宋体" w:hAnsi="宋体" w:asciiTheme="minorEastAsia" w:eastAsiaTheme="minorEastAsia" w:hAnsiTheme="minorEastAsia" w:cs="Arial" w:cstheme="minorEastAsia" w:hint="eastAsia"/>
          <w:b w:val="0"/>
          <w:bCs w:val="0"/>
          <w:sz w:val="32"/>
          <w:szCs w:val="32"/>
        </w:rPr>
        <w:t xml:space="preserve">万元，</w:t>
      </w:r>
      <w:r>
        <w:rPr>
          <w:sz w:val="32"/>
          <w:u w:color="auto"/>
        </w:rPr>
        <w:t xml:space="preserve">增长0.00%</w:t>
      </w:r>
      <w:r>
        <w:rPr>
          <w:rFonts w:ascii="宋体" w:eastAsia="宋体" w:hAnsi="宋体" w:asciiTheme="minorEastAsia" w:eastAsiaTheme="minorEastAsia" w:hAnsiTheme="minorEastAsia" w:cs="Arial" w:cstheme="minorEastAsia" w:hint="eastAsia"/>
          <w:b w:val="0"/>
          <w:bCs w:val="0"/>
          <w:sz w:val="32"/>
          <w:szCs w:val="32"/>
        </w:rPr>
        <w:t xml:space="preserve">，主要原因是</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此项目无变化</w:t>
      </w:r>
      <w:r>
        <w:rPr>
          <w:rFonts w:ascii="宋体" w:eastAsia="宋体" w:hAnsi="宋体" w:asciiTheme="minorEastAsia" w:eastAsiaTheme="minorEastAsia" w:hAnsiTheme="minorEastAsia" w:cs="Arial" w:cstheme="minorEastAsia" w:hint="eastAsia"/>
          <w:b w:val="0"/>
          <w:bCs w:val="0"/>
          <w:sz w:val="32"/>
          <w:szCs w:val="32"/>
        </w:rPr>
        <w:t xml:space="preserve">。</w:t>
      </w:r>
    </w:p>
    <w:p>
      <w:pPr>
        <w:pStyle w:val="Bodytext|2"/>
        <w:keepNext w:val="0"/>
        <w:keepLines w:val="0"/>
        <w:pageBreakBefore w:val="0"/>
        <w:widowControl w:val="0"/>
        <w:kinsoku/>
        <w:wordWrap/>
        <w:overflowPunct/>
        <w:topLinePunct w:val="0"/>
        <w:autoSpaceDE/>
        <w:autoSpaceDN/>
        <w:bidi w:val="0"/>
        <w:adjustRightInd/>
        <w:snapToGrid/>
        <w:spacing w:before="120" w:after="0" w:line="600" w:lineRule="exact"/>
        <w:ind w:firstLine="618"/>
        <w:jc w:val="left"/>
        <w:textAlignment w:val="auto"/>
        <w:rPr>
          <w:rFonts w:ascii="宋体" w:eastAsia="宋体" w:hAnsi="宋体" w:asciiTheme="minorEastAsia" w:eastAsiaTheme="minorEastAsia" w:hAnsiTheme="minorEastAsia" w:cs="Arial" w:cstheme="minorEastAsia" w:hint="eastAsia"/>
          <w:b/>
          <w:bCs/>
          <w:sz w:val="32"/>
          <w:szCs w:val="32"/>
          <w:lang w:val="en-US" w:eastAsia="zh-CN"/>
        </w:rPr>
      </w:pPr>
      <w:r>
        <w:rPr>
          <w:rFonts w:ascii="宋体" w:eastAsia="宋体" w:hAnsi="宋体" w:asciiTheme="minorEastAsia" w:eastAsiaTheme="minorEastAsia" w:hAnsiTheme="minorEastAsia" w:cs="Arial" w:cstheme="minorEastAsia" w:hint="eastAsia"/>
          <w:b/>
          <w:bCs/>
          <w:sz w:val="32"/>
          <w:szCs w:val="32"/>
          <w:lang w:val="en-US" w:eastAsia="zh-CN"/>
        </w:rPr>
        <w:t xml:space="preserve">八</w:t>
      </w:r>
      <w:bookmarkEnd w:id="14"/>
      <w:r>
        <w:rPr>
          <w:rFonts w:ascii="宋体" w:eastAsia="宋体" w:hAnsi="宋体" w:asciiTheme="minorEastAsia" w:eastAsiaTheme="minorEastAsia" w:hAnsiTheme="minorEastAsia" w:cs="Arial" w:cstheme="minorEastAsia" w:hint="eastAsia"/>
          <w:b/>
          <w:bCs/>
          <w:sz w:val="32"/>
          <w:szCs w:val="32"/>
          <w:lang w:val="en-US" w:eastAsia="zh-CN"/>
        </w:rPr>
        <w:t xml:space="preserve">、政府性基金预算支出情况说明</w:t>
      </w:r>
    </w:p>
    <w:p>
      <w:pPr>
        <w:pStyle w:val="Bodytext|1"/>
        <w:keepNext w:val="0"/>
        <w:keepLines w:val="0"/>
        <w:pageBreakBefore w:val="0"/>
        <w:widowControl w:val="0"/>
        <w:kinsoku/>
        <w:wordWrap/>
        <w:overflowPunct/>
        <w:topLinePunct w:val="0"/>
        <w:autoSpaceDE/>
        <w:autoSpaceDN/>
        <w:bidi w:val="0"/>
        <w:adjustRightInd/>
        <w:snapToGrid/>
        <w:spacing w:line="600" w:lineRule="exact"/>
        <w:ind w:firstLine="601"/>
        <w:jc w:val="left"/>
        <w:textAlignment w:val="auto"/>
        <w:rPr>
          <w:rFonts w:ascii="宋体" w:eastAsia="宋体" w:hAnsi="宋体" w:asciiTheme="minorEastAsia" w:eastAsiaTheme="minorEastAsia" w:hAnsiTheme="minorEastAsia" w:cs="Arial" w:cstheme="minorEastAsia" w:hint="eastAsia"/>
          <w:sz w:val="32"/>
          <w:szCs w:val="32"/>
          <w:lang w:eastAsia="zh-CN"/>
        </w:rPr>
      </w:pPr>
      <w:r>
        <w:rPr>
          <w:rFonts w:ascii="宋体" w:eastAsia="宋体" w:hAnsi="宋体" w:asciiTheme="minorEastAsia" w:eastAsiaTheme="minorEastAsia" w:hAnsiTheme="minorEastAsia" w:cs="Arial" w:cstheme="minorEastAsia" w:hint="eastAsia"/>
          <w:sz w:val="32"/>
          <w:szCs w:val="32"/>
        </w:rPr>
        <w:t xml:space="preserve">我部门</w:t>
      </w:r>
      <w:r>
        <w:rPr>
          <w:rFonts w:ascii="宋体" w:eastAsia="宋体" w:hAnsi="宋体" w:asciiTheme="minorEastAsia" w:eastAsiaTheme="minorEastAsia" w:hAnsiTheme="minorEastAsia" w:cs="Arial" w:cstheme="minorEastAsia" w:hint="eastAsia"/>
          <w:b w:val="0"/>
          <w:bCs w:val="0"/>
          <w:sz w:val="32"/>
          <w:szCs w:val="32"/>
          <w:lang w:eastAsia="zh-CN"/>
        </w:rPr>
        <w:t xml:space="preserve">2024</w:t>
      </w:r>
      <w:r>
        <w:rPr>
          <w:rFonts w:ascii="宋体" w:eastAsia="宋体" w:hAnsi="宋体" w:asciiTheme="minorEastAsia" w:eastAsiaTheme="minorEastAsia" w:hAnsiTheme="minorEastAsia" w:cs="Arial" w:cstheme="minorEastAsia" w:hint="eastAsia"/>
          <w:sz w:val="32"/>
          <w:szCs w:val="32"/>
        </w:rPr>
        <w:t xml:space="preserve">年政府性基金预算支出共</w:t>
      </w:r>
      <w:r>
        <w:rPr>
          <w:rFonts w:ascii="宋体" w:eastAsia="宋体" w:hAnsi="宋体" w:asciiTheme="minorEastAsia" w:eastAsiaTheme="minorEastAsia" w:hAnsiTheme="minorEastAsia" w:cs="Arial" w:cstheme="minorEastAsia" w:hint="eastAsia"/>
          <w:b w:val="0"/>
          <w:bCs w:val="0"/>
          <w:sz w:val="32"/>
          <w:szCs w:val="32"/>
          <w:lang w:eastAsia="zh-CN"/>
        </w:rPr>
        <w:t xml:space="preserve">0.00</w:t>
      </w:r>
      <w:r>
        <w:rPr>
          <w:rFonts w:ascii="宋体" w:eastAsia="宋体" w:hAnsi="宋体" w:asciiTheme="minorEastAsia" w:eastAsiaTheme="minorEastAsia" w:hAnsiTheme="minorEastAsia" w:cs="Arial" w:cstheme="minorEastAsia" w:hint="eastAsia"/>
          <w:sz w:val="32"/>
          <w:szCs w:val="32"/>
        </w:rPr>
        <w:t xml:space="preserve">万元，较2023年度预算数</w:t>
      </w:r>
      <w:r>
        <w:rPr>
          <w:rFonts w:ascii="宋体" w:eastAsia="宋体" w:hAnsi="宋体" w:asciiTheme="minorEastAsia" w:eastAsiaTheme="minorEastAsia" w:hAnsiTheme="minorEastAsia" w:cs="Arial" w:cstheme="minorEastAsia" w:hint="eastAsia"/>
          <w:b w:val="0"/>
          <w:bCs w:val="0"/>
          <w:sz w:val="32"/>
          <w:szCs w:val="32"/>
          <w:lang w:eastAsia="zh-CN"/>
        </w:rPr>
        <w:t xml:space="preserve">0.00</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b w:val="0"/>
          <w:bCs w:val="0"/>
          <w:sz w:val="32"/>
          <w:szCs w:val="32"/>
          <w:lang w:eastAsia="zh-CN"/>
        </w:rPr>
        <w:t xml:space="preserve">增加0.00</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b w:val="0"/>
          <w:bCs w:val="0"/>
          <w:sz w:val="32"/>
          <w:szCs w:val="32"/>
          <w:lang w:eastAsia="zh-CN"/>
        </w:rPr>
        <w:t xml:space="preserve">增长0%</w:t>
      </w:r>
      <w:r>
        <w:rPr>
          <w:rFonts w:ascii="宋体" w:eastAsia="宋体" w:hAnsi="宋体" w:asciiTheme="minorEastAsia" w:eastAsiaTheme="minorEastAsia" w:hAnsiTheme="minorEastAsia" w:cs="Arial" w:cstheme="minorEastAsia" w:hint="eastAsia"/>
          <w:sz w:val="32"/>
          <w:szCs w:val="32"/>
        </w:rPr>
        <w:t xml:space="preserve">，主要原因是</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无此项目预算</w:t>
      </w:r>
      <w:r>
        <w:rPr>
          <w:rFonts w:ascii="宋体" w:eastAsia="宋体" w:hAnsi="宋体" w:asciiTheme="minorEastAsia" w:eastAsiaTheme="minorEastAsia" w:hAnsiTheme="minorEastAsia" w:cs="Arial" w:cstheme="minorEastAsia" w:hint="eastAsia"/>
          <w:sz w:val="32"/>
          <w:szCs w:val="32"/>
        </w:rPr>
        <w:t xml:space="preserve">。</w:t>
      </w:r>
    </w:p>
    <w:p>
      <w:pPr>
        <w:pStyle w:val="Bodytext|2"/>
        <w:keepNext w:val="0"/>
        <w:keepLines w:val="0"/>
        <w:pageBreakBefore w:val="0"/>
        <w:widowControl w:val="0"/>
        <w:kinsoku/>
        <w:wordWrap/>
        <w:overflowPunct/>
        <w:topLinePunct w:val="0"/>
        <w:autoSpaceDE/>
        <w:autoSpaceDN/>
        <w:bidi w:val="0"/>
        <w:adjustRightInd/>
        <w:snapToGrid/>
        <w:spacing w:before="120" w:after="0" w:line="600" w:lineRule="exact"/>
        <w:ind w:firstLine="618"/>
        <w:jc w:val="left"/>
        <w:textAlignment w:val="auto"/>
        <w:rPr>
          <w:rFonts w:ascii="宋体" w:eastAsia="宋体" w:hAnsi="宋体" w:asciiTheme="minorEastAsia" w:eastAsiaTheme="minorEastAsia" w:hAnsiTheme="minorEastAsia" w:cs="Arial" w:cstheme="minorEastAsia" w:hint="eastAsia"/>
          <w:b/>
          <w:bCs/>
          <w:sz w:val="32"/>
          <w:szCs w:val="32"/>
          <w:lang w:val="en-US" w:eastAsia="zh-CN"/>
        </w:rPr>
      </w:pPr>
      <w:bookmarkStart w:id="15" w:name="bookmark91"/>
      <w:r>
        <w:rPr>
          <w:rFonts w:ascii="宋体" w:eastAsia="宋体" w:hAnsi="宋体" w:asciiTheme="minorEastAsia" w:eastAsiaTheme="minorEastAsia" w:hAnsiTheme="minorEastAsia" w:cs="Arial" w:cstheme="minorEastAsia" w:hint="eastAsia"/>
          <w:b/>
          <w:bCs/>
          <w:sz w:val="32"/>
          <w:szCs w:val="32"/>
          <w:lang w:val="en-US" w:eastAsia="zh-CN"/>
        </w:rPr>
        <w:t xml:space="preserve">九</w:t>
      </w:r>
      <w:bookmarkEnd w:id="15"/>
      <w:r>
        <w:rPr>
          <w:rFonts w:ascii="宋体" w:eastAsia="宋体" w:hAnsi="宋体" w:asciiTheme="minorEastAsia" w:eastAsiaTheme="minorEastAsia" w:hAnsiTheme="minorEastAsia" w:cs="Arial" w:cstheme="minorEastAsia" w:hint="eastAsia"/>
          <w:b/>
          <w:bCs/>
          <w:sz w:val="32"/>
          <w:szCs w:val="32"/>
          <w:lang w:val="en-US" w:eastAsia="zh-CN"/>
        </w:rPr>
        <w:t xml:space="preserve">、国有资本经营预算支出情况说明</w:t>
      </w:r>
    </w:p>
    <w:p>
      <w:pPr>
        <w:pStyle w:val="Bodytext|1"/>
        <w:keepNext w:val="0"/>
        <w:keepLines w:val="0"/>
        <w:pageBreakBefore w:val="0"/>
        <w:widowControl w:val="0"/>
        <w:kinsoku/>
        <w:wordWrap/>
        <w:overflowPunct/>
        <w:topLinePunct w:val="0"/>
        <w:autoSpaceDE/>
        <w:autoSpaceDN/>
        <w:bidi w:val="0"/>
        <w:adjustRightInd/>
        <w:snapToGrid/>
        <w:spacing w:line="600" w:lineRule="exact"/>
        <w:ind w:firstLine="601"/>
        <w:jc w:val="left"/>
        <w:textAlignment w:val="auto"/>
        <w:rPr>
          <w:rFonts w:ascii="宋体" w:eastAsia="宋体" w:hAnsi="宋体" w:asciiTheme="minorEastAsia" w:eastAsiaTheme="minorEastAsia" w:hAnsiTheme="minorEastAsia" w:cs="Arial" w:cstheme="minorEastAsia" w:hint="eastAsia"/>
          <w:sz w:val="32"/>
          <w:szCs w:val="32"/>
          <w:lang w:eastAsia="zh-CN"/>
        </w:rPr>
      </w:pPr>
      <w:r>
        <w:rPr>
          <w:rFonts w:ascii="宋体" w:eastAsia="宋体" w:hAnsi="宋体" w:asciiTheme="minorEastAsia" w:eastAsiaTheme="minorEastAsia" w:hAnsiTheme="minorEastAsia" w:cs="Arial" w:cstheme="minorEastAsia" w:hint="eastAsia"/>
          <w:sz w:val="32"/>
          <w:szCs w:val="32"/>
        </w:rPr>
        <w:t xml:space="preserve">我部门</w:t>
      </w:r>
      <w:r>
        <w:rPr>
          <w:rFonts w:ascii="宋体" w:eastAsia="宋体" w:hAnsi="宋体" w:asciiTheme="minorEastAsia" w:eastAsiaTheme="minorEastAsia" w:hAnsiTheme="minorEastAsia" w:cs="Arial" w:cstheme="minorEastAsia" w:hint="eastAsia"/>
          <w:sz w:val="32"/>
          <w:szCs w:val="32"/>
          <w:lang w:eastAsia="zh-CN"/>
        </w:rPr>
        <w:t xml:space="preserve">2024</w:t>
      </w:r>
      <w:r>
        <w:rPr>
          <w:rFonts w:ascii="宋体" w:eastAsia="宋体" w:hAnsi="宋体" w:asciiTheme="minorEastAsia" w:eastAsiaTheme="minorEastAsia" w:hAnsiTheme="minorEastAsia" w:cs="Arial" w:cstheme="minorEastAsia" w:hint="eastAsia"/>
          <w:sz w:val="32"/>
          <w:szCs w:val="32"/>
        </w:rPr>
        <w:t xml:space="preserve">年国有资本经营预算支出共</w:t>
      </w:r>
      <w:r>
        <w:rPr>
          <w:rFonts w:ascii="宋体" w:eastAsia="宋体" w:hAnsi="宋体" w:asciiTheme="minorEastAsia" w:eastAsiaTheme="minorEastAsia" w:hAnsiTheme="minorEastAsia" w:cs="Arial" w:cstheme="minorEastAsia" w:hint="eastAsia"/>
          <w:sz w:val="32"/>
          <w:szCs w:val="32"/>
          <w:lang w:eastAsia="zh-CN"/>
        </w:rPr>
        <w:t xml:space="preserve">0.00</w:t>
      </w:r>
      <w:r>
        <w:rPr>
          <w:rFonts w:ascii="宋体" w:eastAsia="宋体" w:hAnsi="宋体" w:asciiTheme="minorEastAsia" w:eastAsiaTheme="minorEastAsia" w:hAnsiTheme="minorEastAsia" w:cs="Arial" w:cstheme="minorEastAsia" w:hint="eastAsia"/>
          <w:sz w:val="32"/>
          <w:szCs w:val="32"/>
        </w:rPr>
        <w:t xml:space="preserve">万元，较2023年度预算数</w:t>
      </w:r>
      <w:r>
        <w:rPr>
          <w:rFonts w:ascii="宋体" w:eastAsia="宋体" w:hAnsi="宋体" w:asciiTheme="minorEastAsia" w:eastAsiaTheme="minorEastAsia" w:hAnsiTheme="minorEastAsia" w:cs="Arial" w:cstheme="minorEastAsia" w:hint="eastAsia"/>
          <w:sz w:val="32"/>
          <w:szCs w:val="32"/>
          <w:lang w:eastAsia="zh-CN"/>
        </w:rPr>
        <w:t xml:space="preserve">0.00</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eastAsia="zh-CN"/>
        </w:rPr>
        <w:t xml:space="preserve">增加0.00</w:t>
      </w:r>
      <w:r>
        <w:rPr>
          <w:rFonts w:ascii="宋体" w:eastAsia="宋体" w:hAnsi="宋体" w:asciiTheme="minorEastAsia" w:eastAsiaTheme="minorEastAsia" w:hAnsiTheme="minorEastAsia" w:cs="Arial" w:cstheme="minorEastAsia" w:hint="eastAsia"/>
          <w:sz w:val="32"/>
          <w:szCs w:val="32"/>
        </w:rPr>
        <w:t xml:space="preserve">万元，</w:t>
      </w:r>
      <w:r>
        <w:rPr>
          <w:rFonts w:ascii="宋体" w:eastAsia="宋体" w:hAnsi="宋体" w:asciiTheme="minorEastAsia" w:eastAsiaTheme="minorEastAsia" w:hAnsiTheme="minorEastAsia" w:cs="Arial" w:cstheme="minorEastAsia" w:hint="eastAsia"/>
          <w:sz w:val="32"/>
          <w:szCs w:val="32"/>
          <w:lang w:eastAsia="zh-CN"/>
        </w:rPr>
        <w:t xml:space="preserve">增长0%</w:t>
      </w:r>
      <w:r>
        <w:rPr>
          <w:rFonts w:ascii="宋体" w:eastAsia="宋体" w:hAnsi="宋体" w:asciiTheme="minorEastAsia" w:eastAsiaTheme="minorEastAsia" w:hAnsiTheme="minorEastAsia" w:cs="Arial" w:cstheme="minorEastAsia" w:hint="eastAsia"/>
          <w:sz w:val="32"/>
          <w:szCs w:val="32"/>
        </w:rPr>
        <w:t xml:space="preserve">，主要原因是</w:t>
      </w:r>
      <w:r>
        <w:rPr>
          <w:rFonts w:ascii="宋体" w:eastAsia="宋体" w:hAnsi="宋体" w:asciiTheme="minorEastAsia" w:eastAsiaTheme="minorEastAsia" w:hAnsiTheme="minorEastAsia" w:cs="Arial" w:cstheme="minorEastAsia" w:hint="eastAsia"/>
          <w:sz w:val="32"/>
          <w:szCs w:val="32"/>
          <w:lang w:val="en-US" w:eastAsia="zh-CN"/>
        </w:rPr>
        <w:t xml:space="preserve">无此项目预算</w:t>
      </w:r>
      <w:r>
        <w:rPr>
          <w:rFonts w:ascii="宋体" w:eastAsia="宋体" w:hAnsi="宋体" w:asciiTheme="minorEastAsia" w:eastAsiaTheme="minorEastAsia" w:hAnsiTheme="minorEastAsia" w:cs="Arial" w:cstheme="minorEastAsia" w:hint="eastAsia"/>
          <w:sz w:val="32"/>
          <w:szCs w:val="32"/>
        </w:rPr>
        <w:t xml:space="preserve">。</w:t>
      </w:r>
    </w:p>
    <w:p>
      <w:pPr>
        <w:pStyle w:val="Bodytext|2"/>
        <w:keepNext w:val="0"/>
        <w:keepLines w:val="0"/>
        <w:pageBreakBefore w:val="0"/>
        <w:widowControl w:val="0"/>
        <w:tabs>
          <w:tab w:val="left" w:pos="1235"/>
        </w:tabs>
        <w:kinsoku/>
        <w:wordWrap/>
        <w:overflowPunct/>
        <w:topLinePunct w:val="0"/>
        <w:autoSpaceDE/>
        <w:autoSpaceDN/>
        <w:bidi w:val="0"/>
        <w:adjustRightInd/>
        <w:snapToGrid/>
        <w:spacing w:before="120" w:after="0" w:line="600" w:lineRule="exact"/>
        <w:ind w:firstLine="578"/>
        <w:jc w:val="left"/>
        <w:textAlignment w:val="auto"/>
        <w:rPr>
          <w:rFonts w:ascii="宋体" w:eastAsia="宋体" w:hAnsi="宋体" w:asciiTheme="minorEastAsia" w:eastAsiaTheme="minorEastAsia" w:hAnsiTheme="minorEastAsia" w:cs="Arial" w:cstheme="minorEastAsia" w:hint="eastAsia"/>
          <w:b/>
          <w:bCs/>
          <w:sz w:val="32"/>
          <w:szCs w:val="32"/>
        </w:rPr>
      </w:pPr>
      <w:r>
        <w:rPr>
          <w:rFonts w:ascii="宋体" w:eastAsia="宋体" w:hAnsi="宋体" w:asciiTheme="minorEastAsia" w:eastAsiaTheme="minorEastAsia" w:hAnsiTheme="minorEastAsia" w:cs="Arial" w:cstheme="minorEastAsia" w:hint="eastAsia"/>
          <w:b/>
          <w:bCs/>
          <w:sz w:val="32"/>
          <w:szCs w:val="32"/>
        </w:rPr>
        <w:t xml:space="preserve">十、其他重要事项</w:t>
      </w:r>
      <w:r>
        <w:rPr>
          <w:rFonts w:ascii="宋体" w:eastAsia="宋体" w:hAnsi="宋体" w:asciiTheme="minorEastAsia" w:eastAsiaTheme="minorEastAsia" w:hAnsiTheme="minorEastAsia" w:cs="Arial" w:cstheme="minorEastAsia" w:hint="eastAsia"/>
          <w:b/>
          <w:bCs/>
          <w:sz w:val="32"/>
          <w:szCs w:val="32"/>
          <w:lang w:val="en-US" w:eastAsia="zh-CN"/>
        </w:rPr>
        <w:t xml:space="preserve">情况</w:t>
      </w:r>
      <w:r>
        <w:rPr>
          <w:rFonts w:ascii="宋体" w:eastAsia="宋体" w:hAnsi="宋体" w:asciiTheme="minorEastAsia" w:eastAsiaTheme="minorEastAsia" w:hAnsiTheme="minorEastAsia" w:cs="Arial" w:cstheme="minorEastAsia" w:hint="eastAsia"/>
          <w:b/>
          <w:bCs/>
          <w:sz w:val="32"/>
          <w:szCs w:val="32"/>
        </w:rPr>
        <w:t xml:space="preserve">说明</w:t>
      </w:r>
    </w:p>
    <w:p>
      <w:pPr>
        <w:pStyle w:val="Bodytext|1"/>
        <w:keepNext w:val="0"/>
        <w:keepLines w:val="0"/>
        <w:pageBreakBefore w:val="0"/>
        <w:widowControl w:val="0"/>
        <w:kinsoku/>
        <w:wordWrap/>
        <w:overflowPunct/>
        <w:topLinePunct w:val="0"/>
        <w:autoSpaceDE/>
        <w:autoSpaceDN/>
        <w:bidi w:val="0"/>
        <w:adjustRightInd/>
        <w:snapToGrid/>
        <w:spacing w:line="600" w:lineRule="exact"/>
        <w:ind w:firstLine="601"/>
        <w:jc w:val="left"/>
        <w:textAlignment w:val="auto"/>
        <w:rPr>
          <w:rFonts w:ascii="宋体" w:eastAsia="宋体" w:hAnsi="宋体" w:asciiTheme="minorEastAsia" w:eastAsiaTheme="minorEastAsia" w:hAnsiTheme="minorEastAsia" w:cs="Arial" w:cstheme="minorEastAsia" w:hint="eastAsia"/>
          <w:sz w:val="32"/>
          <w:szCs w:val="32"/>
          <w:lang w:eastAsia="zh-CN"/>
        </w:rPr>
      </w:pPr>
      <w:r>
        <w:rPr>
          <w:rFonts w:ascii="宋体" w:eastAsia="宋体" w:hAnsi="宋体" w:asciiTheme="minorEastAsia" w:eastAsiaTheme="minorEastAsia" w:hAnsiTheme="minorEastAsia" w:cs="Arial" w:cstheme="minorEastAsia" w:hint="eastAsia"/>
          <w:sz w:val="32"/>
          <w:szCs w:val="32"/>
          <w:lang w:eastAsia="zh-CN"/>
        </w:rPr>
        <w:t xml:space="preserve">（一）事业单位相关运行经费</w:t>
      </w:r>
    </w:p>
    <w:p>
      <w:pPr>
        <w:pStyle w:val="Bodytext|1"/>
        <w:keepNext w:val="0"/>
        <w:keepLines w:val="0"/>
        <w:pageBreakBefore w:val="0"/>
        <w:widowControl w:val="0"/>
        <w:kinsoku/>
        <w:wordWrap/>
        <w:overflowPunct/>
        <w:topLinePunct w:val="0"/>
        <w:autoSpaceDE/>
        <w:autoSpaceDN/>
        <w:bidi w:val="0"/>
        <w:adjustRightInd/>
        <w:snapToGrid/>
        <w:spacing w:line="600" w:lineRule="exact"/>
        <w:ind w:firstLine="601"/>
        <w:jc w:val="left"/>
        <w:textAlignment w:val="auto"/>
        <w:rPr>
          <w:rFonts w:ascii="宋体" w:eastAsia="宋体" w:hAnsi="宋体" w:asciiTheme="minorEastAsia" w:eastAsiaTheme="minorEastAsia" w:hAnsiTheme="minorEastAsia" w:cs="Arial" w:cstheme="minorEastAsia" w:hint="eastAsia"/>
          <w:sz w:val="32"/>
          <w:szCs w:val="32"/>
          <w:lang w:eastAsia="zh-CN"/>
        </w:rPr>
      </w:pPr>
      <w:r>
        <w:rPr>
          <w:rFonts w:ascii="宋体" w:eastAsia="宋体" w:hAnsi="宋体" w:asciiTheme="minorEastAsia" w:eastAsiaTheme="minorEastAsia" w:hAnsiTheme="minorEastAsia" w:cs="Arial" w:cstheme="minorEastAsia" w:hint="eastAsia"/>
          <w:sz w:val="32"/>
          <w:szCs w:val="32"/>
          <w:lang w:eastAsia="zh-CN"/>
        </w:rPr>
        <w:t xml:space="preserve">2024</w:t>
      </w:r>
      <w:r>
        <w:rPr>
          <w:sz w:val="32"/>
          <w:u w:color="auto"/>
        </w:rPr>
        <w:t xml:space="preserve">年本部门机关运行经费预算</w:t>
      </w:r>
      <w:r>
        <w:rPr>
          <w:rFonts w:ascii="宋体" w:eastAsia="宋体" w:hAnsi="宋体" w:asciiTheme="minorEastAsia" w:eastAsiaTheme="minorEastAsia" w:hAnsiTheme="minorEastAsia" w:cs="Arial" w:cstheme="minorEastAsia" w:hint="eastAsia"/>
          <w:sz w:val="32"/>
          <w:szCs w:val="32"/>
          <w:lang w:val="en-US" w:eastAsia="zh-CN"/>
        </w:rPr>
        <w:t xml:space="preserve">1.81</w:t>
      </w:r>
      <w:r>
        <w:rPr>
          <w:rFonts w:ascii="宋体" w:eastAsia="宋体" w:hAnsi="宋体" w:asciiTheme="minorEastAsia" w:eastAsiaTheme="minorEastAsia" w:hAnsiTheme="minorEastAsia" w:cs="Arial" w:cstheme="minorEastAsia" w:hint="eastAsia"/>
          <w:sz w:val="32"/>
          <w:szCs w:val="32"/>
          <w:lang w:eastAsia="zh-CN"/>
        </w:rPr>
        <w:t xml:space="preserve">万元，较2023年度预算数</w:t>
      </w:r>
      <w:r>
        <w:rPr>
          <w:rFonts w:ascii="宋体" w:eastAsia="宋体" w:hAnsi="宋体" w:asciiTheme="minorEastAsia" w:eastAsiaTheme="minorEastAsia" w:hAnsiTheme="minorEastAsia" w:cs="Arial" w:cstheme="minorEastAsia" w:hint="eastAsia"/>
          <w:sz w:val="32"/>
          <w:szCs w:val="32"/>
          <w:lang w:val="en-US" w:eastAsia="zh-CN"/>
        </w:rPr>
        <w:t xml:space="preserve">1.64</w:t>
      </w:r>
      <w:r>
        <w:rPr>
          <w:rFonts w:ascii="宋体" w:eastAsia="宋体" w:hAnsi="宋体" w:asciiTheme="minorEastAsia" w:eastAsiaTheme="minorEastAsia" w:hAnsiTheme="minorEastAsia" w:cs="Arial" w:cstheme="minorEastAsia" w:hint="eastAsia"/>
          <w:sz w:val="32"/>
          <w:szCs w:val="32"/>
          <w:lang w:eastAsia="zh-CN"/>
        </w:rPr>
        <w:t xml:space="preserve">万元，</w:t>
      </w:r>
      <w:r>
        <w:rPr>
          <w:rFonts w:ascii="宋体" w:eastAsia="宋体" w:hAnsi="宋体" w:asciiTheme="minorEastAsia" w:eastAsiaTheme="minorEastAsia" w:hAnsiTheme="minorEastAsia" w:cs="Arial" w:cstheme="minorEastAsia" w:hint="eastAsia"/>
          <w:sz w:val="32"/>
          <w:szCs w:val="32"/>
          <w:lang w:val="en-US" w:eastAsia="zh-CN"/>
        </w:rPr>
        <w:t xml:space="preserve">增加0.17</w:t>
      </w:r>
      <w:r>
        <w:rPr>
          <w:rFonts w:ascii="宋体" w:eastAsia="宋体" w:hAnsi="宋体" w:asciiTheme="minorEastAsia" w:eastAsiaTheme="minorEastAsia" w:hAnsiTheme="minorEastAsia" w:cs="Arial" w:cstheme="minorEastAsia" w:hint="eastAsia"/>
          <w:sz w:val="32"/>
          <w:szCs w:val="32"/>
          <w:lang w:eastAsia="zh-CN"/>
        </w:rPr>
        <w:t xml:space="preserve">万元，</w:t>
      </w:r>
      <w:r>
        <w:rPr>
          <w:rFonts w:ascii="宋体" w:eastAsia="宋体" w:hAnsi="宋体" w:asciiTheme="minorEastAsia" w:eastAsiaTheme="minorEastAsia" w:hAnsiTheme="minorEastAsia" w:cs="Arial" w:cstheme="minorEastAsia" w:hint="eastAsia"/>
          <w:sz w:val="32"/>
          <w:szCs w:val="32"/>
          <w:lang w:val="en-US" w:eastAsia="zh-CN"/>
        </w:rPr>
        <w:t xml:space="preserve">增长10.37%</w:t>
      </w:r>
      <w:r>
        <w:rPr>
          <w:rFonts w:ascii="宋体" w:eastAsia="宋体" w:hAnsi="宋体" w:asciiTheme="minorEastAsia" w:eastAsiaTheme="minorEastAsia" w:hAnsiTheme="minorEastAsia" w:cs="Arial" w:cstheme="minorEastAsia" w:hint="eastAsia"/>
          <w:sz w:val="32"/>
          <w:szCs w:val="32"/>
          <w:lang w:eastAsia="zh-CN"/>
        </w:rPr>
        <w:t xml:space="preserve">，主要原因是：</w:t>
      </w:r>
      <w:r>
        <w:rPr>
          <w:rFonts w:ascii="宋体" w:eastAsia="宋体" w:hAnsi="宋体" w:asciiTheme="minorEastAsia" w:eastAsiaTheme="minorEastAsia" w:hAnsiTheme="minorEastAsia" w:cs="Arial" w:cstheme="minorEastAsia" w:hint="eastAsia"/>
          <w:sz w:val="32"/>
          <w:szCs w:val="32"/>
          <w:lang w:val="en-US" w:eastAsia="zh-CN"/>
        </w:rPr>
        <w:t xml:space="preserve">23年6月一名在职人员调出，9月公开招聘一名在职人员，在职人员工资基数增加，工会经费科目预算增加</w:t>
      </w:r>
      <w:r>
        <w:rPr>
          <w:rFonts w:ascii="宋体" w:eastAsia="宋体" w:hAnsi="宋体" w:asciiTheme="minorEastAsia" w:eastAsiaTheme="minorEastAsia" w:hAnsiTheme="minorEastAsia" w:cs="Arial" w:cstheme="minorEastAsia" w:hint="eastAsia"/>
          <w:sz w:val="32"/>
          <w:szCs w:val="32"/>
          <w:lang w:eastAsia="zh-CN"/>
        </w:rPr>
        <w:t xml:space="preserve">。</w:t>
      </w:r>
    </w:p>
    <w:p>
      <w:pPr>
        <w:pStyle w:val="Bodytext|1"/>
        <w:keepNext w:val="0"/>
        <w:keepLines w:val="0"/>
        <w:pageBreakBefore w:val="0"/>
        <w:widowControl w:val="0"/>
        <w:kinsoku/>
        <w:wordWrap/>
        <w:overflowPunct/>
        <w:topLinePunct w:val="0"/>
        <w:autoSpaceDE/>
        <w:autoSpaceDN/>
        <w:bidi w:val="0"/>
        <w:adjustRightInd/>
        <w:snapToGrid/>
        <w:spacing w:line="600" w:lineRule="exact"/>
        <w:ind w:firstLine="601"/>
        <w:jc w:val="left"/>
        <w:textAlignment w:val="auto"/>
        <w:rPr>
          <w:rFonts w:ascii="宋体" w:eastAsia="宋体" w:hAnsi="宋体" w:asciiTheme="minorEastAsia" w:eastAsiaTheme="minorEastAsia" w:hAnsiTheme="minorEastAsia" w:cs="Arial" w:cstheme="minorEastAsia" w:hint="eastAsia"/>
          <w:sz w:val="32"/>
          <w:szCs w:val="32"/>
          <w:lang w:eastAsia="zh-CN"/>
        </w:rPr>
      </w:pPr>
      <w:r>
        <w:rPr>
          <w:rFonts w:ascii="宋体" w:eastAsia="宋体" w:hAnsi="宋体" w:asciiTheme="minorEastAsia" w:eastAsiaTheme="minorEastAsia" w:hAnsiTheme="minorEastAsia" w:cs="Arial" w:cstheme="minorEastAsia" w:hint="eastAsia"/>
          <w:sz w:val="32"/>
          <w:szCs w:val="32"/>
          <w:lang w:eastAsia="zh-CN"/>
        </w:rPr>
        <w:t xml:space="preserve">（二）政府采购预算安排情况说明</w:t>
      </w:r>
    </w:p>
    <w:p>
      <w:pPr>
        <w:pStyle w:val="Bodytext|1"/>
        <w:keepNext w:val="0"/>
        <w:keepLines w:val="0"/>
        <w:pageBreakBefore w:val="0"/>
        <w:widowControl w:val="0"/>
        <w:kinsoku/>
        <w:wordWrap/>
        <w:overflowPunct/>
        <w:topLinePunct w:val="0"/>
        <w:autoSpaceDE/>
        <w:autoSpaceDN/>
        <w:bidi w:val="0"/>
        <w:adjustRightInd/>
        <w:snapToGrid/>
        <w:spacing w:line="600" w:lineRule="exact"/>
        <w:ind w:firstLine="601"/>
        <w:jc w:val="left"/>
        <w:textAlignment w:val="auto"/>
        <w:rPr>
          <w:rFonts w:ascii="宋体" w:eastAsia="宋体" w:hAnsi="宋体" w:asciiTheme="minorEastAsia" w:eastAsiaTheme="minorEastAsia" w:hAnsiTheme="minorEastAsia" w:cs="Arial" w:cstheme="minorEastAsia" w:hint="eastAsia"/>
          <w:sz w:val="32"/>
          <w:szCs w:val="32"/>
          <w:lang w:val="en-US" w:eastAsia="zh-CN"/>
        </w:rPr>
      </w:pPr>
      <w:r>
        <w:rPr>
          <w:rFonts w:ascii="宋体" w:eastAsia="宋体" w:hAnsi="宋体" w:asciiTheme="minorEastAsia" w:eastAsiaTheme="minorEastAsia" w:hAnsiTheme="minorEastAsia" w:cs="Arial" w:cstheme="minorEastAsia" w:hint="eastAsia"/>
          <w:sz w:val="32"/>
          <w:szCs w:val="32"/>
          <w:lang w:eastAsia="zh-CN"/>
        </w:rPr>
        <w:t xml:space="preserve">我部门2024年政府采购预算总金额</w:t>
      </w:r>
      <w:r>
        <w:rPr>
          <w:rFonts w:ascii="宋体" w:eastAsia="宋体" w:hAnsi="宋体" w:asciiTheme="minorEastAsia" w:eastAsiaTheme="minorEastAsia" w:hAnsiTheme="minorEastAsia" w:cs="Arial" w:cstheme="minorEastAsia" w:hint="eastAsia"/>
          <w:sz w:val="32"/>
          <w:szCs w:val="32"/>
          <w:lang w:val="en-US" w:eastAsia="zh-CN"/>
        </w:rPr>
        <w:t xml:space="preserve">2</w:t>
      </w:r>
      <w:r>
        <w:rPr>
          <w:rFonts w:ascii="宋体" w:eastAsia="宋体" w:hAnsi="宋体" w:asciiTheme="minorEastAsia" w:eastAsiaTheme="minorEastAsia" w:hAnsiTheme="minorEastAsia" w:cs="Arial" w:cstheme="minorEastAsia" w:hint="eastAsia"/>
          <w:sz w:val="32"/>
          <w:szCs w:val="32"/>
          <w:lang w:eastAsia="zh-CN"/>
        </w:rPr>
        <w:t xml:space="preserve">万元。其中：货物类采购</w:t>
      </w:r>
      <w:r>
        <w:rPr>
          <w:rFonts w:ascii="宋体" w:eastAsia="宋体" w:hAnsi="宋体" w:asciiTheme="minorEastAsia" w:eastAsiaTheme="minorEastAsia" w:hAnsiTheme="minorEastAsia" w:cs="Arial" w:cstheme="minorEastAsia" w:hint="eastAsia"/>
          <w:sz w:val="32"/>
          <w:szCs w:val="32"/>
          <w:lang w:val="en-US" w:eastAsia="zh-CN"/>
        </w:rPr>
        <w:t xml:space="preserve">0</w:t>
      </w:r>
      <w:r>
        <w:rPr>
          <w:rFonts w:ascii="宋体" w:eastAsia="宋体" w:hAnsi="宋体" w:asciiTheme="minorEastAsia" w:eastAsiaTheme="minorEastAsia" w:hAnsiTheme="minorEastAsia" w:cs="Arial" w:cstheme="minorEastAsia" w:hint="eastAsia"/>
          <w:sz w:val="32"/>
          <w:szCs w:val="32"/>
          <w:lang w:eastAsia="zh-CN"/>
        </w:rPr>
        <w:t xml:space="preserve">万元、工程类采购</w:t>
      </w:r>
      <w:r>
        <w:rPr>
          <w:rFonts w:ascii="宋体" w:eastAsia="宋体" w:hAnsi="宋体" w:asciiTheme="minorEastAsia" w:eastAsiaTheme="minorEastAsia" w:hAnsiTheme="minorEastAsia" w:cs="Arial" w:cstheme="minorEastAsia" w:hint="eastAsia"/>
          <w:sz w:val="32"/>
          <w:szCs w:val="32"/>
          <w:lang w:val="en-US" w:eastAsia="zh-CN"/>
        </w:rPr>
        <w:t xml:space="preserve">0</w:t>
      </w:r>
      <w:r>
        <w:rPr>
          <w:rFonts w:ascii="宋体" w:eastAsia="宋体" w:hAnsi="宋体" w:asciiTheme="minorEastAsia" w:eastAsiaTheme="minorEastAsia" w:hAnsiTheme="minorEastAsia" w:cs="Arial" w:cstheme="minorEastAsia" w:hint="eastAsia"/>
          <w:sz w:val="32"/>
          <w:szCs w:val="32"/>
          <w:lang w:eastAsia="zh-CN"/>
        </w:rPr>
        <w:t xml:space="preserve">万元、服务类采购</w:t>
      </w:r>
      <w:r>
        <w:rPr>
          <w:rFonts w:ascii="宋体" w:eastAsia="宋体" w:hAnsi="宋体" w:asciiTheme="minorEastAsia" w:eastAsiaTheme="minorEastAsia" w:hAnsiTheme="minorEastAsia" w:cs="Arial" w:cstheme="minorEastAsia" w:hint="eastAsia"/>
          <w:sz w:val="32"/>
          <w:szCs w:val="32"/>
          <w:lang w:val="en-US" w:eastAsia="zh-CN"/>
        </w:rPr>
        <w:t xml:space="preserve">2</w:t>
      </w:r>
      <w:r>
        <w:rPr>
          <w:rFonts w:ascii="宋体" w:eastAsia="宋体" w:hAnsi="宋体" w:asciiTheme="minorEastAsia" w:eastAsiaTheme="minorEastAsia" w:hAnsiTheme="minorEastAsia" w:cs="Arial" w:cstheme="minorEastAsia" w:hint="eastAsia"/>
          <w:sz w:val="32"/>
          <w:szCs w:val="32"/>
          <w:lang w:eastAsia="zh-CN"/>
        </w:rPr>
        <w:t xml:space="preserve">万元。</w:t>
      </w:r>
      <w:r>
        <w:rPr>
          <w:rFonts w:ascii="宋体" w:eastAsia="宋体" w:hAnsi="宋体" w:asciiTheme="minorEastAsia" w:eastAsiaTheme="minorEastAsia" w:hAnsiTheme="minorEastAsia" w:cs="Arial" w:cstheme="minorEastAsia" w:hint="eastAsia"/>
          <w:sz w:val="32"/>
          <w:szCs w:val="32"/>
          <w:lang w:val="en-US" w:eastAsia="zh-CN"/>
        </w:rPr>
        <w:t xml:space="preserve">主要用于：业务用车加油。</w:t>
      </w:r>
    </w:p>
    <w:p>
      <w:pPr>
        <w:pStyle w:val="Bodytext|1"/>
        <w:keepNext w:val="0"/>
        <w:keepLines w:val="0"/>
        <w:pageBreakBefore w:val="0"/>
        <w:widowControl w:val="0"/>
        <w:kinsoku/>
        <w:wordWrap/>
        <w:overflowPunct/>
        <w:topLinePunct w:val="0"/>
        <w:autoSpaceDE/>
        <w:autoSpaceDN/>
        <w:bidi w:val="0"/>
        <w:adjustRightInd/>
        <w:snapToGrid/>
        <w:spacing w:line="600" w:lineRule="exact"/>
        <w:ind w:firstLine="601"/>
        <w:jc w:val="left"/>
        <w:textAlignment w:val="auto"/>
        <w:rPr>
          <w:rFonts w:ascii="宋体" w:eastAsia="宋体" w:hAnsi="宋体" w:asciiTheme="minorEastAsia" w:eastAsiaTheme="minorEastAsia" w:hAnsiTheme="minorEastAsia" w:cs="Arial" w:cstheme="minorEastAsia" w:hint="eastAsia"/>
          <w:sz w:val="32"/>
          <w:szCs w:val="32"/>
          <w:lang w:eastAsia="zh-CN"/>
        </w:rPr>
      </w:pPr>
      <w:r>
        <w:rPr>
          <w:rFonts w:ascii="宋体" w:eastAsia="宋体" w:hAnsi="宋体" w:asciiTheme="minorEastAsia" w:eastAsiaTheme="minorEastAsia" w:hAnsiTheme="minorEastAsia" w:cs="Arial" w:cstheme="minorEastAsia" w:hint="eastAsia"/>
          <w:sz w:val="32"/>
          <w:szCs w:val="32"/>
          <w:lang w:eastAsia="zh-CN"/>
        </w:rPr>
        <w:t xml:space="preserve">（三）国有资产占用情况说明</w:t>
      </w:r>
    </w:p>
    <w:p>
      <w:pPr>
        <w:pStyle w:val="Bodytext|1"/>
        <w:keepNext w:val="0"/>
        <w:keepLines w:val="0"/>
        <w:pageBreakBefore w:val="0"/>
        <w:widowControl w:val="0"/>
        <w:kinsoku/>
        <w:wordWrap/>
        <w:overflowPunct/>
        <w:topLinePunct w:val="0"/>
        <w:autoSpaceDE/>
        <w:autoSpaceDN/>
        <w:bidi w:val="0"/>
        <w:adjustRightInd/>
        <w:snapToGrid/>
        <w:spacing w:line="600" w:lineRule="exact"/>
        <w:ind w:firstLine="601"/>
        <w:jc w:val="left"/>
        <w:textAlignment w:val="auto"/>
        <w:rPr>
          <w:rFonts w:ascii="宋体" w:eastAsia="宋体" w:hAnsi="宋体" w:asciiTheme="minorEastAsia" w:eastAsiaTheme="minorEastAsia" w:hAnsiTheme="minorEastAsia" w:cs="Arial" w:cstheme="minorEastAsia" w:hint="eastAsia"/>
          <w:sz w:val="32"/>
          <w:szCs w:val="32"/>
          <w:lang w:eastAsia="zh-CN"/>
        </w:rPr>
      </w:pPr>
      <w:r>
        <w:rPr>
          <w:rFonts w:ascii="宋体" w:eastAsia="宋体" w:hAnsi="宋体" w:asciiTheme="minorEastAsia" w:eastAsiaTheme="minorEastAsia" w:hAnsiTheme="minorEastAsia" w:cs="Arial" w:cstheme="minorEastAsia" w:hint="eastAsia"/>
          <w:sz w:val="32"/>
          <w:szCs w:val="32"/>
          <w:lang w:eastAsia="zh-CN"/>
        </w:rPr>
        <w:t xml:space="preserve">截至2023年12月31日，本部门共有车辆</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2</w:t>
      </w:r>
      <w:r>
        <w:rPr>
          <w:rFonts w:ascii="宋体" w:eastAsia="宋体" w:hAnsi="宋体" w:asciiTheme="minorEastAsia" w:eastAsiaTheme="minorEastAsia" w:hAnsiTheme="minorEastAsia" w:cs="Arial" w:cstheme="minorEastAsia" w:hint="eastAsia"/>
          <w:sz w:val="32"/>
          <w:szCs w:val="32"/>
          <w:lang w:eastAsia="zh-CN"/>
        </w:rPr>
        <w:t xml:space="preserve">辆，其中，应急机要通信用车</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0</w:t>
      </w:r>
      <w:r>
        <w:rPr>
          <w:rFonts w:ascii="宋体" w:eastAsia="宋体" w:hAnsi="宋体" w:asciiTheme="minorEastAsia" w:eastAsiaTheme="minorEastAsia" w:hAnsiTheme="minorEastAsia" w:cs="Arial" w:cstheme="minorEastAsia" w:hint="eastAsia"/>
          <w:sz w:val="32"/>
          <w:szCs w:val="32"/>
          <w:lang w:eastAsia="zh-CN"/>
        </w:rPr>
        <w:t xml:space="preserve">辆、一般执法执勤用车</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0</w:t>
      </w:r>
      <w:r>
        <w:rPr>
          <w:rFonts w:ascii="宋体" w:eastAsia="宋体" w:hAnsi="宋体" w:asciiTheme="minorEastAsia" w:eastAsiaTheme="minorEastAsia" w:hAnsiTheme="minorEastAsia" w:cs="Arial" w:cstheme="minorEastAsia" w:hint="eastAsia"/>
          <w:sz w:val="32"/>
          <w:szCs w:val="32"/>
          <w:lang w:eastAsia="zh-CN"/>
        </w:rPr>
        <w:t xml:space="preserve">辆、特种专业技术用车</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0</w:t>
      </w:r>
      <w:r>
        <w:rPr>
          <w:rFonts w:ascii="宋体" w:eastAsia="宋体" w:hAnsi="宋体" w:asciiTheme="minorEastAsia" w:eastAsiaTheme="minorEastAsia" w:hAnsiTheme="minorEastAsia" w:cs="Arial" w:cstheme="minorEastAsia" w:hint="eastAsia"/>
          <w:sz w:val="32"/>
          <w:szCs w:val="32"/>
          <w:lang w:eastAsia="zh-CN"/>
        </w:rPr>
        <w:t xml:space="preserve">辆、其他用车</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2</w:t>
      </w:r>
      <w:r>
        <w:rPr>
          <w:rFonts w:ascii="宋体" w:eastAsia="宋体" w:hAnsi="宋体" w:asciiTheme="minorEastAsia" w:eastAsiaTheme="minorEastAsia" w:hAnsiTheme="minorEastAsia" w:cs="Arial" w:cstheme="minorEastAsia" w:hint="eastAsia"/>
          <w:sz w:val="32"/>
          <w:szCs w:val="32"/>
          <w:lang w:eastAsia="zh-CN"/>
        </w:rPr>
        <w:t xml:space="preserve">辆，单位价值200万元以上大型设备</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0</w:t>
      </w:r>
      <w:r>
        <w:rPr>
          <w:rFonts w:ascii="宋体" w:eastAsia="宋体" w:hAnsi="宋体" w:asciiTheme="minorEastAsia" w:eastAsiaTheme="minorEastAsia" w:hAnsiTheme="minorEastAsia" w:cs="Arial" w:cstheme="minorEastAsia" w:hint="eastAsia"/>
          <w:sz w:val="32"/>
          <w:szCs w:val="32"/>
          <w:lang w:eastAsia="zh-CN"/>
        </w:rPr>
        <w:t xml:space="preserve">台（套）。</w:t>
      </w:r>
    </w:p>
    <w:p>
      <w:pPr>
        <w:pStyle w:val="Bodytext|1"/>
        <w:keepNext w:val="0"/>
        <w:keepLines w:val="0"/>
        <w:pageBreakBefore w:val="0"/>
        <w:widowControl w:val="0"/>
        <w:kinsoku/>
        <w:wordWrap/>
        <w:overflowPunct/>
        <w:topLinePunct w:val="0"/>
        <w:autoSpaceDE/>
        <w:autoSpaceDN/>
        <w:bidi w:val="0"/>
        <w:adjustRightInd/>
        <w:snapToGrid/>
        <w:spacing w:line="600" w:lineRule="exact"/>
        <w:ind w:firstLine="601"/>
        <w:jc w:val="left"/>
        <w:textAlignment w:val="auto"/>
        <w:rPr>
          <w:rFonts w:ascii="宋体" w:eastAsia="宋体" w:hAnsi="宋体" w:asciiTheme="minorEastAsia" w:eastAsiaTheme="minorEastAsia" w:hAnsiTheme="minorEastAsia" w:cs="Arial" w:cstheme="minorEastAsia" w:hint="eastAsia"/>
          <w:sz w:val="32"/>
          <w:szCs w:val="32"/>
          <w:lang w:eastAsia="zh-CN"/>
        </w:rPr>
      </w:pPr>
      <w:r>
        <w:rPr>
          <w:rFonts w:ascii="宋体" w:eastAsia="宋体" w:hAnsi="宋体" w:asciiTheme="minorEastAsia" w:eastAsiaTheme="minorEastAsia" w:hAnsiTheme="minorEastAsia" w:cs="Arial" w:cstheme="minorEastAsia" w:hint="eastAsia"/>
          <w:sz w:val="32"/>
          <w:szCs w:val="32"/>
          <w:lang w:eastAsia="zh-CN"/>
        </w:rPr>
        <w:t xml:space="preserve">（四）预算绩效目标情况说明</w:t>
      </w:r>
    </w:p>
    <w:p>
      <w:pPr>
        <w:pStyle w:val="Bodytext|1"/>
        <w:keepNext w:val="0"/>
        <w:keepLines w:val="0"/>
        <w:pageBreakBefore w:val="0"/>
        <w:widowControl w:val="0"/>
        <w:kinsoku/>
        <w:wordWrap/>
        <w:overflowPunct/>
        <w:topLinePunct w:val="0"/>
        <w:autoSpaceDE/>
        <w:autoSpaceDN/>
        <w:bidi w:val="0"/>
        <w:adjustRightInd/>
        <w:snapToGrid/>
        <w:spacing w:line="600" w:lineRule="exact"/>
        <w:ind w:firstLine="601"/>
        <w:jc w:val="left"/>
        <w:textAlignment w:val="auto"/>
        <w:rPr>
          <w:rFonts w:ascii="宋体" w:eastAsia="宋体" w:hAnsi="宋体" w:asciiTheme="minorEastAsia" w:eastAsiaTheme="minorEastAsia" w:hAnsiTheme="minorEastAsia" w:cs="Arial" w:cstheme="minorEastAsia" w:hint="eastAsia"/>
          <w:sz w:val="32"/>
          <w:szCs w:val="32"/>
          <w:lang w:eastAsia="zh-CN"/>
        </w:rPr>
      </w:pPr>
      <w:r>
        <w:rPr>
          <w:rFonts w:ascii="宋体" w:eastAsia="宋体" w:hAnsi="宋体" w:asciiTheme="minorEastAsia" w:eastAsiaTheme="minorEastAsia" w:hAnsiTheme="minorEastAsia" w:cs="Arial" w:cstheme="minorEastAsia" w:hint="eastAsia"/>
          <w:sz w:val="32"/>
          <w:szCs w:val="32"/>
          <w:lang w:eastAsia="zh-CN"/>
        </w:rPr>
        <w:t xml:space="preserve">1.我部门2024年所有项目支出全面实施绩效目标管理，涉及项目</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1</w:t>
      </w:r>
      <w:r>
        <w:rPr>
          <w:rFonts w:ascii="宋体" w:eastAsia="宋体" w:hAnsi="宋体" w:asciiTheme="minorEastAsia" w:eastAsiaTheme="minorEastAsia" w:hAnsiTheme="minorEastAsia" w:cs="Arial" w:cstheme="minorEastAsia" w:hint="eastAsia"/>
          <w:sz w:val="32"/>
          <w:szCs w:val="32"/>
          <w:lang w:eastAsia="zh-CN"/>
        </w:rPr>
        <w:t xml:space="preserve">个，预算资金</w:t>
      </w: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10</w:t>
      </w:r>
      <w:r>
        <w:rPr>
          <w:rFonts w:ascii="宋体" w:eastAsia="宋体" w:hAnsi="宋体" w:asciiTheme="minorEastAsia" w:eastAsiaTheme="minorEastAsia" w:hAnsiTheme="minorEastAsia" w:cs="Arial" w:cstheme="minorEastAsia" w:hint="eastAsia"/>
          <w:sz w:val="32"/>
          <w:szCs w:val="32"/>
          <w:lang w:eastAsia="zh-CN"/>
        </w:rPr>
        <w:t xml:space="preserve">万元。绩效目标情况详见报表（日常运转类项目、工资类人员经费项目和涉密项目等除外）。</w:t>
      </w:r>
    </w:p>
    <w:p>
      <w:pPr>
        <w:pStyle w:val="Bodytext|1"/>
        <w:keepNext w:val="0"/>
        <w:keepLines w:val="0"/>
        <w:pageBreakBefore w:val="0"/>
        <w:widowControl w:val="0"/>
        <w:kinsoku/>
        <w:wordWrap/>
        <w:overflowPunct/>
        <w:topLinePunct w:val="0"/>
        <w:autoSpaceDE/>
        <w:autoSpaceDN/>
        <w:bidi w:val="0"/>
        <w:adjustRightInd/>
        <w:snapToGrid/>
        <w:spacing w:line="600" w:lineRule="exact"/>
        <w:ind w:firstLine="601"/>
        <w:jc w:val="left"/>
        <w:textAlignment w:val="auto"/>
        <w:rPr>
          <w:rFonts w:ascii="宋体" w:eastAsia="宋体" w:hAnsi="宋体" w:asciiTheme="minorEastAsia" w:eastAsiaTheme="minorEastAsia" w:hAnsiTheme="minorEastAsia" w:cs="Arial" w:cstheme="minorEastAsia" w:hint="eastAsia"/>
          <w:sz w:val="32"/>
          <w:szCs w:val="32"/>
          <w:lang w:eastAsia="zh-CN"/>
        </w:rPr>
      </w:pPr>
      <w:r>
        <w:rPr>
          <w:rFonts w:ascii="宋体" w:eastAsia="宋体" w:hAnsi="宋体" w:asciiTheme="minorEastAsia" w:eastAsiaTheme="minorEastAsia" w:hAnsiTheme="minorEastAsia" w:cs="Arial" w:cstheme="minorEastAsia" w:hint="eastAsia"/>
          <w:sz w:val="32"/>
          <w:szCs w:val="32"/>
          <w:lang w:eastAsia="zh-CN"/>
        </w:rPr>
        <w:t xml:space="preserve">2.重点项目预算绩效目标说明。</w:t>
      </w:r>
    </w:p>
    <w:p>
      <w:pPr>
        <w:pStyle w:val="Bodytext|1"/>
        <w:keepNext w:val="0"/>
        <w:keepLines w:val="0"/>
        <w:pageBreakBefore w:val="0"/>
        <w:widowControl w:val="0"/>
        <w:kinsoku/>
        <w:wordWrap/>
        <w:overflowPunct/>
        <w:topLinePunct w:val="0"/>
        <w:autoSpaceDE/>
        <w:autoSpaceDN/>
        <w:bidi w:val="0"/>
        <w:adjustRightInd/>
        <w:snapToGrid/>
        <w:spacing w:line="600" w:lineRule="exact"/>
        <w:ind w:firstLine="601"/>
        <w:jc w:val="left"/>
        <w:textAlignment w:val="auto"/>
        <w:rPr>
          <w:rFonts w:ascii="宋体" w:eastAsia="宋体" w:hAnsi="宋体" w:asciiTheme="minorEastAsia" w:eastAsiaTheme="minorEastAsia" w:hAnsiTheme="minorEastAsia" w:cs="Arial" w:cstheme="minorEastAsia" w:hint="eastAsia"/>
          <w:sz w:val="32"/>
          <w:szCs w:val="32"/>
          <w:highlight w:val="none"/>
          <w:lang w:val="en-US" w:eastAsia="zh-CN"/>
        </w:rPr>
      </w:pPr>
      <w:r>
        <w:rPr>
          <w:rFonts w:ascii="宋体" w:eastAsia="宋体" w:hAnsi="宋体" w:asciiTheme="minorEastAsia" w:eastAsiaTheme="minorEastAsia" w:hAnsiTheme="minorEastAsia" w:cs="Arial" w:cstheme="minorEastAsia" w:hint="eastAsia"/>
          <w:sz w:val="32"/>
          <w:szCs w:val="32"/>
          <w:highlight w:val="none"/>
          <w:lang w:val="en-US" w:eastAsia="zh-CN"/>
        </w:rPr>
        <w:t xml:space="preserve">重点项目一：产品质量监督抽查经费，预算资金10万元，2024年度绩效目标为：完成河池市市场监督管理局下达的干茧（鲜茧）、生丝产品质量监督抽查抽样工作及检验工作任务，完成区域内工业产品及生产企业产品质量监督检验抽样及检验工作任务，提高产品质量水平。拓展茧丝绸及其制品的检验业务，努力具备茧丝绸、蚕丝被等产品的检验能力。设置4条数量指标：完成蚕丝被质量监督检查抽样、检验≥10批，完成建材、化工产品质量抽样、检验≥40批，完成生丝质量监督检查抽样、检验≥20批，完成干茧（鲜茧）质量监督检查抽样、检验≥20批；设置3条质量指标：国家公检投诉率≤0.3%，检验准确率≥99.5%，检验完成及时率=100%；设置1条时效指标：2024年1月1日至2024年12月31日；设置6条成本指标：公务用车运行维护费2万元，专用材料费1万元，差旅费1万元，邮电费1万元，电费4万元，办公费1万元；设置1条社会效益指标：为区域内企业技术改进提供技术支持＝100%；设置1条可持续影响指标：对河池市蚕丝绸产业的健康持续发展=99%；设置1条服务对象满意度指标：社会服务对象满意率≥98%。</w:t>
      </w:r>
    </w:p>
    <w:p>
      <w:pPr>
        <w:pStyle w:val="Bodytext|1"/>
        <w:spacing w:line="624" w:lineRule="exact"/>
        <w:ind w:firstLine="600"/>
        <w:jc w:val="left"/>
        <w:rPr>
          <w:rFonts w:ascii="宋体" w:eastAsia="宋体" w:hAnsi="宋体" w:asciiTheme="minorEastAsia" w:eastAsiaTheme="minorEastAsia" w:hAnsiTheme="minorEastAsia" w:cs="Arial" w:cstheme="minorEastAsia" w:hint="eastAsia"/>
          <w:sz w:val="32"/>
          <w:szCs w:val="32"/>
          <w:highlight w:val="none"/>
          <w:lang w:val="en-US" w:eastAsia="zh-CN"/>
        </w:rPr>
      </w:pPr>
    </w:p>
    <w:p>
      <w:pPr>
        <w:pStyle w:val="Bodytext|1"/>
        <w:spacing w:line="624" w:lineRule="exact"/>
        <w:jc w:val="left"/>
        <w:rPr>
          <w:rFonts w:ascii="宋体" w:eastAsia="宋体" w:hAnsi="宋体" w:asciiTheme="minorEastAsia" w:eastAsiaTheme="minorEastAsia" w:hAnsiTheme="minorEastAsia" w:cs="Arial" w:cstheme="minorEastAsia" w:hint="eastAsia"/>
          <w:sz w:val="32"/>
          <w:szCs w:val="32"/>
          <w:highlight w:val="none"/>
          <w:lang w:val="en-US" w:eastAsia="zh-CN"/>
        </w:rPr>
        <w:sectPr>
          <w:headerReference w:type="default" r:id="rId14"/>
          <w:footerReference w:type="default" r:id="rId15"/>
          <w:pgSz w:w="11900" w:h="16840" w:orient="portrait"/>
          <w:pgMar w:top="1440" w:right="1800" w:bottom="1440" w:left="1800" w:header="0" w:footer="1077" w:gutter="0"/>
          <w:pgBorders>
            <w:top w:val="none" w:sz="0" w:space="0" w:color="auto"/>
            <w:left w:val="none" w:sz="0" w:space="0" w:color="auto"/>
            <w:bottom w:val="none" w:sz="0" w:space="0" w:color="auto"/>
            <w:right w:val="none" w:sz="0" w:space="0" w:color="auto"/>
          </w:pgBorders>
          <w:pgNumType w:fmt="decimal"/>
          <w:cols w:num="1" w:space="720">
            <w:col w:w="8300" w:space="720"/>
          </w:cols>
          <w:docGrid w:linePitch="360" w:charSpace="0"/>
        </w:sectPr>
      </w:pPr>
    </w:p>
    <w:p>
      <w:pPr>
        <w:pStyle w:val="Heading#1|1"/>
        <w:keepNext/>
        <w:keepLines/>
        <w:spacing w:after="980"/>
        <w:jc w:val="center"/>
        <w:rPr>
          <w:rFonts w:ascii="宋体" w:eastAsia="宋体" w:hAnsi="宋体" w:asciiTheme="minorEastAsia" w:eastAsiaTheme="minorEastAsia" w:hAnsiTheme="minorEastAsia" w:cs="Arial" w:cstheme="minorEastAsia" w:hint="eastAsia"/>
          <w:b/>
          <w:bCs/>
          <w:sz w:val="32"/>
          <w:szCs w:val="32"/>
        </w:rPr>
      </w:pPr>
      <w:bookmarkEnd w:id="10"/>
      <w:bookmarkEnd w:id="11"/>
      <w:bookmarkEnd w:id="12"/>
      <w:r>
        <w:rPr>
          <w:rFonts w:ascii="黑体" w:eastAsia="黑体" w:hAnsi="黑体" w:cs="黑体" w:hint="eastAsia"/>
          <w:b w:val="0"/>
          <w:bCs w:val="0"/>
          <w:sz w:val="32"/>
          <w:szCs w:val="32"/>
        </w:rPr>
        <w:t xml:space="preserve">第</w:t>
      </w:r>
      <w:r>
        <w:rPr>
          <w:rFonts w:ascii="黑体" w:eastAsia="黑体" w:hAnsi="黑体" w:cs="黑体" w:hint="eastAsia"/>
          <w:b w:val="0"/>
          <w:bCs w:val="0"/>
          <w:sz w:val="32"/>
          <w:szCs w:val="32"/>
          <w:lang w:val="en-US" w:eastAsia="zh-CN"/>
        </w:rPr>
        <w:t xml:space="preserve">三</w:t>
      </w:r>
      <w:r>
        <w:rPr>
          <w:rFonts w:ascii="黑体" w:eastAsia="黑体" w:hAnsi="黑体" w:cs="黑体" w:hint="eastAsia"/>
          <w:b w:val="0"/>
          <w:bCs w:val="0"/>
          <w:sz w:val="32"/>
          <w:szCs w:val="32"/>
        </w:rPr>
        <w:t xml:space="preserve">部分</w:t>
      </w:r>
      <w:r>
        <w:rPr>
          <w:rFonts w:ascii="黑体" w:eastAsia="黑体" w:hAnsi="黑体" w:cs="黑体" w:hint="eastAsia"/>
          <w:b w:val="0"/>
          <w:bCs w:val="0"/>
          <w:sz w:val="32"/>
          <w:szCs w:val="32"/>
          <w:lang w:eastAsia="zh-CN"/>
        </w:rPr>
        <w:t xml:space="preserve">河池市纤维检验所</w:t>
      </w:r>
      <w:r>
        <w:rPr>
          <w:rFonts w:ascii="黑体" w:eastAsia="黑体" w:hAnsi="黑体" w:cs="黑体"/>
          <w:sz w:val="32"/>
          <w:u w:color="auto"/>
        </w:rPr>
        <w:t xml:space="preserve">2024</w:t>
      </w:r>
      <w:r>
        <w:rPr>
          <w:rFonts w:ascii="黑体" w:eastAsia="黑体" w:hAnsi="黑体" w:cs="黑体"/>
          <w:sz w:val="32"/>
          <w:u w:color="auto"/>
        </w:rPr>
        <w:t xml:space="preserve">年</w:t>
      </w:r>
      <w:r>
        <w:rPr>
          <w:rFonts w:ascii="黑体" w:eastAsia="黑体" w:hAnsi="黑体" w:cs="黑体" w:hint="eastAsia"/>
          <w:b w:val="0"/>
          <w:bCs w:val="0"/>
          <w:sz w:val="32"/>
          <w:szCs w:val="32"/>
        </w:rPr>
        <w:t xml:space="preserve">部门预算表</w:t>
      </w:r>
    </w:p>
    <w:p>
      <w:pPr>
        <w:pStyle w:val="Heading#2|1"/>
        <w:keepNext/>
        <w:keepLines/>
        <w:tabs>
          <w:tab w:val="center" w:pos="7730"/>
          <w:tab w:val="left" w:pos="13278"/>
        </w:tabs>
        <w:spacing w:after="240"/>
        <w:jc w:val="center"/>
        <w:rPr>
          <w:rFonts w:ascii="宋体" w:eastAsia="宋体" w:hAnsi="宋体" w:asciiTheme="minorEastAsia" w:eastAsiaTheme="minorEastAsia" w:hAnsiTheme="minorEastAsia" w:cs="Arial" w:cstheme="minorEastAsia" w:hint="eastAsia"/>
          <w:sz w:val="32"/>
          <w:szCs w:val="32"/>
          <w:lang w:eastAsia="zh-CN"/>
        </w:rPr>
      </w:pPr>
      <w:bookmarkStart w:id="16" w:name="bookmark31"/>
      <w:bookmarkStart w:id="17" w:name="bookmark30"/>
      <w:bookmarkStart w:id="18" w:name="bookmark29"/>
      <w:r>
        <w:rPr>
          <w:rFonts w:ascii="宋体" w:eastAsia="宋体" w:hAnsi="宋体" w:asciiTheme="minorEastAsia" w:eastAsiaTheme="minorEastAsia" w:hAnsiTheme="minorEastAsia" w:cs="Arial" w:cstheme="minorEastAsia" w:hint="eastAsia"/>
          <w:sz w:val="32"/>
          <w:szCs w:val="32"/>
        </w:rPr>
        <w:t xml:space="preserve">收支总体情况表</w:t>
      </w:r>
      <w:bookmarkEnd w:id="16"/>
      <w:bookmarkEnd w:id="17"/>
      <w:bookmarkEnd w:id="18"/>
    </w:p>
    <w:tbl>
      <w:tblPr>
        <w:tblStyle w:val="TableNormal"/>
        <w:tblW w:w="5000" w:type="pct"/>
        <w:tblInd w:w="0" w:type="dxa"/>
        <w:tblLayout w:type="fixed"/>
        <w:tblCellMar>
          <w:top w:w="0" w:type="dxa"/>
          <w:left w:w="10" w:type="dxa"/>
          <w:bottom w:w="0" w:type="dxa"/>
          <w:right w:w="10" w:type="dxa"/>
        </w:tblCellMar>
        <w:tblLook w:firstRow="0" w:lastRow="0" w:firstColumn="0" w:lastColumn="0" w:noHBand="1" w:noVBand="1"/>
      </w:tblPr>
      <w:tblGrid>
        <w:gridCol w:w="3609"/>
        <w:gridCol w:w="4064"/>
        <w:gridCol w:w="3828"/>
        <w:gridCol w:w="3859"/>
      </w:tblGrid>
      <w:tr>
        <w:tblPrEx>
          <w:tblW w:w="5000" w:type="pct"/>
          <w:tblInd w:w="0" w:type="dxa"/>
          <w:tblLayout w:type="fixed"/>
          <w:tblCellMar>
            <w:top w:w="0" w:type="dxa"/>
            <w:left w:w="10" w:type="dxa"/>
            <w:bottom w:w="0" w:type="dxa"/>
            <w:right w:w="10" w:type="dxa"/>
          </w:tblCellMar>
        </w:tblPrEx>
        <w:trPr>
          <w:cantSplit/>
          <w:trHeight w:hRule="exact" w:val="443"/>
        </w:trPr>
        <w:tc>
          <w:tcPr>
            <w:tcW w:w="11485" w:type="dxa"/>
            <w:gridSpan w:val="3"/>
            <w:tcBorders>
              <w:bottom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rPr>
            </w:pPr>
          </w:p>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单位名称：</w:t>
            </w:r>
            <w:r>
              <w:rPr>
                <w:rFonts w:ascii="宋体" w:eastAsia="宋体" w:hAnsi="宋体" w:asciiTheme="minorEastAsia" w:eastAsiaTheme="minorEastAsia" w:hAnsiTheme="minorEastAsia" w:cs="Arial" w:cstheme="minorEastAsia" w:hint="eastAsia"/>
                <w:sz w:val="18"/>
                <w:szCs w:val="18"/>
                <w:lang w:eastAsia="zh-CN"/>
              </w:rPr>
              <w:t xml:space="preserve">河池市纤维检验所</w:t>
            </w:r>
          </w:p>
        </w:tc>
        <w:tc>
          <w:tcPr>
            <w:tcW w:w="3854" w:type="dxa"/>
            <w:tcBorders>
              <w:bottom w:val="single" w:sz="4" w:space="0" w:color="auto"/>
            </w:tcBorders>
            <w:shd w:val="clear" w:color="auto" w:fill="FFFFFF"/>
          </w:tcPr>
          <w:p>
            <w:pPr>
              <w:pStyle w:val="Other|1"/>
              <w:spacing w:line="240" w:lineRule="auto"/>
              <w:ind w:firstLine="2095" w:firstLineChars="1164"/>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表01</w:t>
            </w:r>
          </w:p>
          <w:p>
            <w:pPr>
              <w:pStyle w:val="Other|1"/>
              <w:spacing w:line="240" w:lineRule="auto"/>
              <w:ind w:firstLine="2095" w:firstLineChars="1164"/>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rPr>
              <w:t xml:space="preserve">单位：万元</w:t>
            </w:r>
          </w:p>
        </w:tc>
      </w:tr>
      <w:tr>
        <w:tblPrEx>
          <w:tblW w:w="5000" w:type="pct"/>
          <w:tblInd w:w="0" w:type="dxa"/>
          <w:tblLayout w:type="fixed"/>
          <w:tblCellMar>
            <w:top w:w="0" w:type="dxa"/>
            <w:left w:w="10" w:type="dxa"/>
            <w:bottom w:w="0" w:type="dxa"/>
            <w:right w:w="10" w:type="dxa"/>
          </w:tblCellMar>
        </w:tblPrEx>
        <w:trPr>
          <w:cantSplit/>
          <w:trHeight w:hRule="exact" w:val="476"/>
        </w:trPr>
        <w:tc>
          <w:tcPr>
            <w:tcW w:w="766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3060" w:firstLineChars="1700"/>
              <w:jc w:val="both"/>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收入</w:t>
            </w:r>
          </w:p>
        </w:tc>
        <w:tc>
          <w:tcPr>
            <w:tcW w:w="767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right="340" w:firstLine="3060" w:firstLineChars="1700"/>
              <w:jc w:val="both"/>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支出</w:t>
            </w:r>
          </w:p>
        </w:tc>
      </w:tr>
      <w:tr>
        <w:tblPrEx>
          <w:tblW w:w="5000" w:type="pct"/>
          <w:tblInd w:w="0" w:type="dxa"/>
          <w:tblLayout w:type="fixed"/>
          <w:tblCellMar>
            <w:top w:w="0" w:type="dxa"/>
            <w:left w:w="10" w:type="dxa"/>
            <w:bottom w:w="0" w:type="dxa"/>
            <w:right w:w="10" w:type="dxa"/>
          </w:tblCellMar>
        </w:tblPrEx>
        <w:trPr>
          <w:cantSplit/>
          <w:trHeight w:hRule="exact" w:val="45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项目</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预算数</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tabs>
                <w:tab w:val="left" w:pos="894"/>
              </w:tabs>
              <w:spacing w:line="240" w:lineRule="auto"/>
              <w:jc w:val="lef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项</w:t>
            </w:r>
            <w:r>
              <w:rPr>
                <w:rFonts w:ascii="宋体" w:eastAsia="宋体" w:hAnsi="宋体" w:asciiTheme="minorEastAsia" w:eastAsiaTheme="minorEastAsia" w:hAnsiTheme="minorEastAsia" w:cs="Arial" w:cstheme="minorEastAsia" w:hint="eastAsia"/>
                <w:sz w:val="18"/>
                <w:szCs w:val="18"/>
              </w:rPr>
              <w:tab/>
            </w:r>
            <w:r>
              <w:rPr>
                <w:rFonts w:ascii="宋体" w:eastAsia="宋体" w:hAnsi="宋体" w:asciiTheme="minorEastAsia" w:eastAsiaTheme="minorEastAsia" w:hAnsiTheme="minorEastAsia" w:cs="Arial" w:cstheme="minorEastAsia" w:hint="eastAsia"/>
                <w:sz w:val="18"/>
                <w:szCs w:val="18"/>
              </w:rPr>
              <w:t xml:space="preserve">目（按支出功能科目分类）</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预算数</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一、一般公共预算拨款</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113.11</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一、一般公共服务支出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72.25</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1、上级补助</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二、外交支出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2、本级</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113.11</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三、国防支出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二、政府性基金预算拨款</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四、公共安全支出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1、上级补助</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五、教育支出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2、本级</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六、科学技术支出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三、国有资本经营预算拨款</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七、文化旅游体育与传媒支出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1、上级补助</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八、社会保障和就业支出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21.12</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2、本级</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九、卫生健康支出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9.40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四、财政专户管理资金收入</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十、节能环保支出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五、事业收入</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十一、城乡社区支出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六、事业单位经营收入</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十二、农林水支出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七、上级补助收入</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十三、交通运输支出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八、附属单位上缴收入</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十四、资源勘探工业信息等支出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九、其他收入</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十五、商业服务业等支出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十六、金融支出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十七、援助其他地区支出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十八、自然资源海洋气象等支出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十九、住房保障支出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10.34</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二十、粮油物资储备支出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二十一、国有资本经营预算支出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二十二、灾害防治及应急管理支出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二十三、其他支出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二十四、债务还本支出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二十五、债务付息支出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二十六、债务发行费用支出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本年收入合计</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113.11</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本年支出合计</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113.11</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上年结转结余</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结转下年支出</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81"/>
        </w:trPr>
        <w:tc>
          <w:tcPr>
            <w:tcW w:w="360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收入总计</w:t>
            </w:r>
          </w:p>
        </w:tc>
        <w:tc>
          <w:tcPr>
            <w:tcW w:w="405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113.11</w:t>
            </w:r>
          </w:p>
        </w:tc>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支出总计</w:t>
            </w:r>
          </w:p>
        </w:tc>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113.11</w:t>
            </w:r>
          </w:p>
        </w:tc>
      </w:tr>
    </w:tbl>
    <w:p>
      <w:pPr>
        <w:pStyle w:val="Tablecaption|1"/>
        <w:ind w:left="101"/>
        <w:jc w:val="lef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注：报表金额单位转换时可能存在四舍五入尾数误差。</w:t>
      </w:r>
    </w:p>
    <w:p>
      <w:pPr>
        <w:tabs>
          <w:tab w:val="left" w:pos="859"/>
        </w:tabs>
        <w:jc w:val="left"/>
        <w:rPr>
          <w:rFonts w:ascii="宋体" w:eastAsia="宋体" w:hAnsi="宋体" w:asciiTheme="minorEastAsia" w:eastAsiaTheme="minorEastAsia" w:hAnsiTheme="minorEastAsia" w:cs="Arial" w:cstheme="minorEastAsia" w:hint="eastAsia"/>
          <w:sz w:val="32"/>
          <w:szCs w:val="32"/>
          <w:lang w:eastAsia="zh-CN"/>
        </w:rPr>
      </w:pPr>
    </w:p>
    <w:p>
      <w:pPr>
        <w:tabs>
          <w:tab w:val="left" w:pos="859"/>
        </w:tabs>
        <w:jc w:val="left"/>
        <w:rPr>
          <w:rFonts w:ascii="宋体" w:eastAsia="宋体" w:hAnsi="宋体" w:asciiTheme="minorEastAsia" w:eastAsiaTheme="minorEastAsia" w:hAnsiTheme="minorEastAsia" w:cs="Arial" w:cstheme="minorEastAsia" w:hint="eastAsia"/>
          <w:sz w:val="32"/>
          <w:szCs w:val="32"/>
          <w:lang w:eastAsia="zh-CN"/>
        </w:rPr>
      </w:pPr>
    </w:p>
    <w:p>
      <w:pPr>
        <w:tabs>
          <w:tab w:val="left" w:pos="859"/>
        </w:tabs>
        <w:jc w:val="left"/>
        <w:rPr>
          <w:rFonts w:ascii="宋体" w:eastAsia="宋体" w:hAnsi="宋体" w:asciiTheme="minorEastAsia" w:eastAsiaTheme="minorEastAsia" w:hAnsiTheme="minorEastAsia" w:cs="Arial" w:cstheme="minorEastAsia" w:hint="eastAsia"/>
          <w:sz w:val="32"/>
          <w:szCs w:val="32"/>
          <w:lang w:eastAsia="zh-CN"/>
        </w:rPr>
      </w:pPr>
    </w:p>
    <w:p>
      <w:pPr>
        <w:tabs>
          <w:tab w:val="left" w:pos="859"/>
        </w:tabs>
        <w:jc w:val="left"/>
        <w:rPr>
          <w:rFonts w:ascii="宋体" w:eastAsia="宋体" w:hAnsi="宋体" w:asciiTheme="minorEastAsia" w:eastAsiaTheme="minorEastAsia" w:hAnsiTheme="minorEastAsia" w:cs="Arial" w:cstheme="minorEastAsia" w:hint="eastAsia"/>
          <w:sz w:val="32"/>
          <w:szCs w:val="32"/>
          <w:lang w:eastAsia="zh-CN"/>
        </w:rPr>
        <w:sectPr>
          <w:headerReference w:type="default" r:id="rId16"/>
          <w:footerReference w:type="default" r:id="rId17"/>
          <w:pgSz w:w="16840" w:h="11900" w:orient="landscape"/>
          <w:pgMar w:top="2397" w:right="761" w:bottom="1966" w:left="739" w:header="0" w:footer="1474" w:gutter="0"/>
          <w:pgBorders>
            <w:top w:val="none" w:sz="0" w:space="0" w:color="auto"/>
            <w:left w:val="none" w:sz="0" w:space="0" w:color="auto"/>
            <w:bottom w:val="none" w:sz="0" w:space="0" w:color="auto"/>
            <w:right w:val="none" w:sz="0" w:space="0" w:color="auto"/>
          </w:pgBorders>
          <w:pgNumType w:fmt="decimal"/>
          <w:cols w:num="1" w:space="720">
            <w:col w:w="15340" w:space="720"/>
          </w:cols>
          <w:docGrid w:linePitch="360" w:charSpace="0"/>
        </w:sectPr>
      </w:pPr>
    </w:p>
    <w:p>
      <w:pPr>
        <w:tabs>
          <w:tab w:val="left" w:pos="859"/>
        </w:tabs>
        <w:jc w:val="left"/>
        <w:rPr>
          <w:rFonts w:ascii="宋体" w:eastAsia="宋体" w:hAnsi="宋体" w:asciiTheme="minorEastAsia" w:eastAsiaTheme="minorEastAsia" w:hAnsiTheme="minorEastAsia" w:cs="Arial" w:cstheme="minorEastAsia" w:hint="eastAsia"/>
          <w:sz w:val="32"/>
          <w:szCs w:val="32"/>
          <w:lang w:eastAsia="zh-CN"/>
        </w:rPr>
      </w:pPr>
    </w:p>
    <w:p>
      <w:pPr>
        <w:tabs>
          <w:tab w:val="left" w:pos="859"/>
        </w:tabs>
        <w:jc w:val="center"/>
        <w:rPr>
          <w:rFonts w:ascii="宋体" w:eastAsia="宋体" w:hAnsi="宋体" w:asciiTheme="minorEastAsia" w:eastAsiaTheme="minorEastAsia" w:hAnsiTheme="minorEastAsia" w:cs="Arial" w:cstheme="minorEastAsia" w:hint="eastAsia"/>
          <w:sz w:val="32"/>
          <w:szCs w:val="32"/>
          <w:lang w:val="en-US" w:eastAsia="zh-CN"/>
        </w:rPr>
      </w:pPr>
    </w:p>
    <w:p>
      <w:pPr>
        <w:tabs>
          <w:tab w:val="left" w:pos="859"/>
          <w:tab w:val="center" w:pos="7730"/>
          <w:tab w:val="left" w:pos="14088"/>
        </w:tabs>
        <w:jc w:val="center"/>
        <w:rPr>
          <w:rFonts w:ascii="宋体" w:eastAsia="宋体" w:hAnsi="宋体" w:asciiTheme="minorEastAsia" w:eastAsiaTheme="minorEastAsia" w:hAnsiTheme="minorEastAsia" w:cs="Arial" w:cstheme="minorEastAsia" w:hint="eastAsia"/>
          <w:sz w:val="32"/>
          <w:szCs w:val="32"/>
          <w:lang w:val="en-US" w:eastAsia="zh-CN"/>
        </w:rPr>
      </w:pPr>
      <w:r>
        <w:rPr>
          <w:rFonts w:ascii="宋体" w:eastAsia="宋体" w:hAnsi="宋体" w:asciiTheme="minorEastAsia" w:eastAsiaTheme="minorEastAsia" w:hAnsiTheme="minorEastAsia" w:cs="Arial" w:cstheme="minorEastAsia" w:hint="eastAsia"/>
          <w:sz w:val="32"/>
          <w:szCs w:val="32"/>
          <w:lang w:val="en-US" w:eastAsia="zh-CN"/>
        </w:rPr>
        <w:t xml:space="preserve">收入总体情况表</w:t>
      </w:r>
    </w:p>
    <w:tbl>
      <w:tblPr>
        <w:tblStyle w:val="TableGrid"/>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Look w:firstRow="0" w:lastRow="0" w:firstColumn="0" w:lastColumn="0" w:noHBand="1" w:noVBand="1"/>
      </w:tblPr>
      <w:tblGrid>
        <w:gridCol w:w="1636"/>
        <w:gridCol w:w="1279"/>
        <w:gridCol w:w="990"/>
        <w:gridCol w:w="926"/>
        <w:gridCol w:w="909"/>
        <w:gridCol w:w="968"/>
        <w:gridCol w:w="990"/>
        <w:gridCol w:w="1078"/>
        <w:gridCol w:w="972"/>
        <w:gridCol w:w="919"/>
        <w:gridCol w:w="1011"/>
        <w:gridCol w:w="859"/>
        <w:gridCol w:w="944"/>
        <w:gridCol w:w="150"/>
        <w:gridCol w:w="937"/>
        <w:gridCol w:w="989"/>
      </w:tblGrid>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cantSplit/>
          <w:trHeight w:val="484"/>
        </w:trPr>
        <w:tc>
          <w:tcPr>
            <w:tcW w:w="13481" w:type="dxa"/>
            <w:gridSpan w:val="13"/>
            <w:tcBorders>
              <w:top w:val="nil"/>
              <w:left w:val="nil"/>
              <w:right w:val="nil"/>
            </w:tcBorders>
          </w:tcPr>
          <w:p>
            <w:pPr>
              <w:pStyle w:val="Tablecaption|1"/>
              <w:jc w:val="left"/>
              <w:rPr>
                <w:rFonts w:ascii="宋体" w:eastAsia="宋体" w:hAnsi="宋体" w:asciiTheme="minorEastAsia" w:eastAsiaTheme="minorEastAsia" w:hAnsiTheme="minorEastAsia" w:cs="Arial" w:cstheme="minorEastAsia" w:hint="eastAsia"/>
                <w:sz w:val="18"/>
                <w:szCs w:val="18"/>
              </w:rPr>
            </w:pPr>
          </w:p>
          <w:p>
            <w:pPr>
              <w:pStyle w:val="Tablecaption|1"/>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rPr>
              <w:t xml:space="preserve">单位名称：</w:t>
            </w:r>
            <w:r>
              <w:rPr>
                <w:rFonts w:ascii="宋体" w:eastAsia="宋体" w:hAnsi="宋体" w:asciiTheme="minorEastAsia" w:eastAsiaTheme="minorEastAsia" w:hAnsiTheme="minorEastAsia" w:cs="Arial" w:cstheme="minorEastAsia" w:hint="eastAsia"/>
                <w:sz w:val="18"/>
                <w:szCs w:val="18"/>
                <w:lang w:eastAsia="zh-CN"/>
              </w:rPr>
              <w:t xml:space="preserve">河池市纤维检验所</w:t>
            </w:r>
          </w:p>
        </w:tc>
        <w:tc>
          <w:tcPr>
            <w:tcW w:w="2076" w:type="dxa"/>
            <w:gridSpan w:val="3"/>
            <w:tcBorders>
              <w:top w:val="nil"/>
              <w:left w:val="nil"/>
              <w:right w:val="nil"/>
            </w:tcBorders>
          </w:tcPr>
          <w:p>
            <w:pPr>
              <w:keepNext w:val="0"/>
              <w:keepLines w:val="0"/>
              <w:pageBreakBefore w:val="0"/>
              <w:widowControl w:val="0"/>
              <w:tabs>
                <w:tab w:val="left" w:pos="859"/>
                <w:tab w:val="center" w:pos="7730"/>
                <w:tab w:val="left" w:pos="14088"/>
              </w:tabs>
              <w:kinsoku/>
              <w:wordWrap/>
              <w:overflowPunct/>
              <w:topLinePunct w:val="0"/>
              <w:autoSpaceDE/>
              <w:autoSpaceDN/>
              <w:bidi w:val="0"/>
              <w:adjustRightInd/>
              <w:snapToGrid/>
              <w:spacing w:line="0" w:lineRule="atLeast"/>
              <w:jc w:val="right"/>
              <w:textAlignment w:val="auto"/>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表02</w:t>
            </w:r>
          </w:p>
          <w:p>
            <w:pPr>
              <w:keepNext w:val="0"/>
              <w:keepLines w:val="0"/>
              <w:pageBreakBefore w:val="0"/>
              <w:widowControl w:val="0"/>
              <w:tabs>
                <w:tab w:val="left" w:pos="859"/>
                <w:tab w:val="center" w:pos="7730"/>
                <w:tab w:val="left" w:pos="14088"/>
              </w:tabs>
              <w:kinsoku/>
              <w:wordWrap/>
              <w:overflowPunct/>
              <w:topLinePunct w:val="0"/>
              <w:autoSpaceDE/>
              <w:autoSpaceDN/>
              <w:bidi w:val="0"/>
              <w:adjustRightInd/>
              <w:snapToGrid/>
              <w:spacing w:line="0" w:lineRule="atLeast"/>
              <w:jc w:val="right"/>
              <w:textAlignment w:val="auto"/>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rPr>
              <w:t xml:space="preserve">单位：万元</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cantSplit/>
        </w:trPr>
        <w:tc>
          <w:tcPr>
            <w:tcW w:w="1636" w:type="dxa"/>
            <w:vMerge w:val="restart"/>
            <w:vAlign w:val="center"/>
          </w:tcPr>
          <w:p>
            <w:pPr>
              <w:tabs>
                <w:tab w:val="left" w:pos="859"/>
              </w:tabs>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部门（单位）代码</w:t>
            </w:r>
          </w:p>
        </w:tc>
        <w:tc>
          <w:tcPr>
            <w:tcW w:w="1279" w:type="dxa"/>
            <w:vMerge w:val="restart"/>
            <w:vAlign w:val="center"/>
          </w:tcPr>
          <w:p>
            <w:pPr>
              <w:tabs>
                <w:tab w:val="left" w:pos="859"/>
              </w:tabs>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部门（单位）名称</w:t>
            </w:r>
          </w:p>
        </w:tc>
        <w:tc>
          <w:tcPr>
            <w:tcW w:w="990" w:type="dxa"/>
            <w:vMerge w:val="restart"/>
            <w:vAlign w:val="center"/>
          </w:tcPr>
          <w:p>
            <w:pPr>
              <w:pStyle w:val="Other|1"/>
              <w:spacing w:line="240" w:lineRule="auto"/>
              <w:ind w:left="0" w:firstLine="0" w:leftChars="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合</w:t>
            </w:r>
            <w:r>
              <w:rPr>
                <w:rFonts w:ascii="宋体" w:eastAsia="宋体" w:hAnsi="宋体" w:asciiTheme="minorEastAsia" w:eastAsiaTheme="minorEastAsia" w:hAnsiTheme="minorEastAsia" w:cs="Arial" w:cstheme="minorEastAsia" w:hint="eastAsia"/>
                <w:sz w:val="18"/>
                <w:szCs w:val="18"/>
              </w:rPr>
              <w:t xml:space="preserve">计</w:t>
            </w:r>
          </w:p>
        </w:tc>
        <w:tc>
          <w:tcPr>
            <w:tcW w:w="5843" w:type="dxa"/>
            <w:gridSpan w:val="6"/>
          </w:tcPr>
          <w:p>
            <w:pPr>
              <w:tabs>
                <w:tab w:val="left" w:pos="859"/>
              </w:tabs>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本年收入</w:t>
            </w:r>
          </w:p>
        </w:tc>
        <w:tc>
          <w:tcPr>
            <w:tcW w:w="5809" w:type="dxa"/>
            <w:gridSpan w:val="7"/>
          </w:tcPr>
          <w:p>
            <w:pPr>
              <w:tabs>
                <w:tab w:val="left" w:pos="859"/>
              </w:tabs>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上年结转结余</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cantSplit/>
          <w:trHeight w:val="1058"/>
        </w:trPr>
        <w:tc>
          <w:tcPr>
            <w:tcW w:w="1636" w:type="dxa"/>
            <w:vMerge/>
          </w:tcPr>
          <w:p>
            <w:pPr>
              <w:tabs>
                <w:tab w:val="left" w:pos="859"/>
              </w:tabs>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p>
        </w:tc>
        <w:tc>
          <w:tcPr>
            <w:tcW w:w="1279" w:type="dxa"/>
            <w:vMerge/>
          </w:tcPr>
          <w:p>
            <w:pPr>
              <w:tabs>
                <w:tab w:val="left" w:pos="859"/>
              </w:tabs>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p>
        </w:tc>
        <w:tc>
          <w:tcPr>
            <w:tcW w:w="990" w:type="dxa"/>
            <w:vMerge/>
            <w:vAlign w:val="center"/>
          </w:tcPr>
          <w:p>
            <w:pPr>
              <w:pStyle w:val="Other|1"/>
              <w:spacing w:line="240" w:lineRule="auto"/>
              <w:ind w:firstLine="30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p>
        </w:tc>
        <w:tc>
          <w:tcPr>
            <w:tcW w:w="926" w:type="dxa"/>
            <w:vAlign w:val="center"/>
          </w:tcPr>
          <w:p>
            <w:pPr>
              <w:pStyle w:val="Other|1"/>
              <w:spacing w:line="240" w:lineRule="auto"/>
              <w:ind w:firstLine="30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小计</w:t>
            </w:r>
          </w:p>
        </w:tc>
        <w:tc>
          <w:tcPr>
            <w:tcW w:w="909" w:type="dxa"/>
            <w:vAlign w:val="center"/>
          </w:tcPr>
          <w:p>
            <w:pPr>
              <w:pStyle w:val="Other|1"/>
              <w:spacing w:line="317" w:lineRule="exact"/>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一般公共预算</w:t>
            </w:r>
          </w:p>
        </w:tc>
        <w:tc>
          <w:tcPr>
            <w:tcW w:w="968" w:type="dxa"/>
            <w:vAlign w:val="center"/>
          </w:tcPr>
          <w:p>
            <w:pPr>
              <w:pStyle w:val="Other|1"/>
              <w:spacing w:line="317" w:lineRule="exact"/>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政府性基金预算</w:t>
            </w:r>
          </w:p>
        </w:tc>
        <w:tc>
          <w:tcPr>
            <w:tcW w:w="990" w:type="dxa"/>
            <w:vAlign w:val="center"/>
          </w:tcPr>
          <w:p>
            <w:pPr>
              <w:pStyle w:val="Other|1"/>
              <w:spacing w:line="317" w:lineRule="exact"/>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国有资本经营预算</w:t>
            </w:r>
          </w:p>
        </w:tc>
        <w:tc>
          <w:tcPr>
            <w:tcW w:w="1078" w:type="dxa"/>
          </w:tcPr>
          <w:p>
            <w:pPr>
              <w:pStyle w:val="Other|1"/>
              <w:spacing w:line="312" w:lineRule="exact"/>
              <w:ind w:firstLine="0"/>
              <w:jc w:val="center"/>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财政专户管理资金</w:t>
            </w:r>
          </w:p>
          <w:p>
            <w:pPr>
              <w:pStyle w:val="Other|1"/>
              <w:spacing w:line="312" w:lineRule="exact"/>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收入</w:t>
            </w:r>
          </w:p>
        </w:tc>
        <w:tc>
          <w:tcPr>
            <w:tcW w:w="972"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单位资金</w:t>
            </w:r>
          </w:p>
        </w:tc>
        <w:tc>
          <w:tcPr>
            <w:tcW w:w="919" w:type="dxa"/>
            <w:vAlign w:val="center"/>
          </w:tcPr>
          <w:p>
            <w:pPr>
              <w:pStyle w:val="Other|1"/>
              <w:spacing w:line="240" w:lineRule="auto"/>
              <w:ind w:firstLine="30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小计</w:t>
            </w:r>
          </w:p>
        </w:tc>
        <w:tc>
          <w:tcPr>
            <w:tcW w:w="1011" w:type="dxa"/>
            <w:vAlign w:val="center"/>
          </w:tcPr>
          <w:p>
            <w:pPr>
              <w:pStyle w:val="Other|1"/>
              <w:spacing w:line="317" w:lineRule="exact"/>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一般公共预算</w:t>
            </w:r>
          </w:p>
        </w:tc>
        <w:tc>
          <w:tcPr>
            <w:tcW w:w="859" w:type="dxa"/>
            <w:vAlign w:val="center"/>
          </w:tcPr>
          <w:p>
            <w:pPr>
              <w:pStyle w:val="Other|1"/>
              <w:spacing w:line="317" w:lineRule="exact"/>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政府性基金预算</w:t>
            </w:r>
          </w:p>
        </w:tc>
        <w:tc>
          <w:tcPr>
            <w:tcW w:w="1094" w:type="dxa"/>
            <w:gridSpan w:val="2"/>
            <w:vAlign w:val="center"/>
          </w:tcPr>
          <w:p>
            <w:pPr>
              <w:pStyle w:val="Other|1"/>
              <w:spacing w:line="317" w:lineRule="exact"/>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国有资本经营预算</w:t>
            </w:r>
          </w:p>
        </w:tc>
        <w:tc>
          <w:tcPr>
            <w:tcW w:w="937" w:type="dxa"/>
          </w:tcPr>
          <w:p>
            <w:pPr>
              <w:pStyle w:val="Other|1"/>
              <w:spacing w:line="312" w:lineRule="exact"/>
              <w:ind w:firstLine="0"/>
              <w:jc w:val="center"/>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财政专户管理资金</w:t>
            </w:r>
          </w:p>
          <w:p>
            <w:pPr>
              <w:pStyle w:val="Other|1"/>
              <w:spacing w:line="312" w:lineRule="exact"/>
              <w:ind w:right="280" w:firstLine="0" w:rightChars="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收入</w:t>
            </w:r>
          </w:p>
        </w:tc>
        <w:tc>
          <w:tcPr>
            <w:tcW w:w="989" w:type="dxa"/>
            <w:vAlign w:val="center"/>
          </w:tcPr>
          <w:p>
            <w:pPr>
              <w:pStyle w:val="Other|1"/>
              <w:spacing w:line="240" w:lineRule="auto"/>
              <w:ind w:firstLine="14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单位资金</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cantSplit/>
        </w:trPr>
        <w:tc>
          <w:tcPr>
            <w:tcW w:w="1636" w:type="dxa"/>
          </w:tcPr>
          <w:p>
            <w:pPr>
              <w:tabs>
                <w:tab w:val="left" w:pos="859"/>
              </w:tabs>
              <w:jc w:val="both"/>
              <w:rPr>
                <w:rFonts w:ascii="宋体" w:eastAsia="宋体" w:hAnsi="宋体" w:asciiTheme="minorEastAsia" w:eastAsiaTheme="minorEastAsia" w:hAnsiTheme="minorEastAsia" w:cs="Arial" w:cstheme="minorEastAsia" w:hint="eastAsia"/>
                <w:sz w:val="18"/>
                <w:szCs w:val="18"/>
                <w:vertAlign w:val="baseline"/>
                <w:lang w:val="en-US" w:eastAsia="zh-CN"/>
              </w:rPr>
            </w:pPr>
          </w:p>
        </w:tc>
        <w:tc>
          <w:tcPr>
            <w:tcW w:w="1279" w:type="dxa"/>
          </w:tcPr>
          <w:p>
            <w:pPr>
              <w:tabs>
                <w:tab w:val="left" w:pos="859"/>
              </w:tabs>
              <w:jc w:val="both"/>
              <w:rPr>
                <w:rFonts w:ascii="宋体" w:eastAsia="宋体" w:hAnsi="宋体" w:asciiTheme="minorEastAsia" w:eastAsiaTheme="minorEastAsia" w:hAnsiTheme="minorEastAsia" w:cs="Arial" w:cstheme="minorEastAsia" w:hint="eastAsia"/>
                <w:sz w:val="18"/>
                <w:szCs w:val="18"/>
                <w:vertAlign w:val="baseline"/>
                <w:lang w:val="en-US" w:eastAsia="zh-CN"/>
              </w:rPr>
            </w:pPr>
          </w:p>
        </w:tc>
        <w:tc>
          <w:tcPr>
            <w:tcW w:w="990"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1</w:t>
            </w:r>
          </w:p>
        </w:tc>
        <w:tc>
          <w:tcPr>
            <w:tcW w:w="926"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2</w:t>
            </w:r>
          </w:p>
        </w:tc>
        <w:tc>
          <w:tcPr>
            <w:tcW w:w="909"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3</w:t>
            </w:r>
          </w:p>
        </w:tc>
        <w:tc>
          <w:tcPr>
            <w:tcW w:w="968" w:type="dxa"/>
            <w:vAlign w:val="center"/>
          </w:tcPr>
          <w:p>
            <w:pPr>
              <w:pStyle w:val="Other|1"/>
              <w:spacing w:line="240" w:lineRule="auto"/>
              <w:ind w:left="0" w:firstLine="0" w:leftChars="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4</w:t>
            </w:r>
          </w:p>
        </w:tc>
        <w:tc>
          <w:tcPr>
            <w:tcW w:w="990" w:type="dxa"/>
            <w:vAlign w:val="center"/>
          </w:tcPr>
          <w:p>
            <w:pPr>
              <w:pStyle w:val="Other|1"/>
              <w:spacing w:line="240" w:lineRule="auto"/>
              <w:ind w:left="0" w:firstLine="0" w:leftChars="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5</w:t>
            </w:r>
          </w:p>
        </w:tc>
        <w:tc>
          <w:tcPr>
            <w:tcW w:w="1078" w:type="dxa"/>
            <w:vAlign w:val="center"/>
          </w:tcPr>
          <w:p>
            <w:pPr>
              <w:pStyle w:val="Other|1"/>
              <w:spacing w:line="240" w:lineRule="auto"/>
              <w:ind w:left="0" w:firstLine="0" w:leftChars="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6</w:t>
            </w:r>
          </w:p>
        </w:tc>
        <w:tc>
          <w:tcPr>
            <w:tcW w:w="972" w:type="dxa"/>
            <w:vAlign w:val="center"/>
          </w:tcPr>
          <w:p>
            <w:pPr>
              <w:pStyle w:val="Other|1"/>
              <w:spacing w:line="240" w:lineRule="auto"/>
              <w:ind w:left="0" w:firstLine="0" w:leftChars="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7</w:t>
            </w:r>
          </w:p>
        </w:tc>
        <w:tc>
          <w:tcPr>
            <w:tcW w:w="919" w:type="dxa"/>
            <w:vAlign w:val="center"/>
          </w:tcPr>
          <w:p>
            <w:pPr>
              <w:pStyle w:val="Other|1"/>
              <w:spacing w:line="240" w:lineRule="auto"/>
              <w:ind w:left="0" w:firstLine="0" w:leftChars="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8</w:t>
            </w:r>
          </w:p>
        </w:tc>
        <w:tc>
          <w:tcPr>
            <w:tcW w:w="1011" w:type="dxa"/>
            <w:vAlign w:val="center"/>
          </w:tcPr>
          <w:p>
            <w:pPr>
              <w:pStyle w:val="Other|1"/>
              <w:spacing w:line="240" w:lineRule="auto"/>
              <w:ind w:left="0" w:firstLine="0" w:leftChars="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9</w:t>
            </w:r>
          </w:p>
        </w:tc>
        <w:tc>
          <w:tcPr>
            <w:tcW w:w="859" w:type="dxa"/>
            <w:vAlign w:val="center"/>
          </w:tcPr>
          <w:p>
            <w:pPr>
              <w:pStyle w:val="Other|1"/>
              <w:spacing w:line="240" w:lineRule="auto"/>
              <w:ind w:right="360" w:firstLine="0" w:rightChars="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10</w:t>
            </w:r>
          </w:p>
        </w:tc>
        <w:tc>
          <w:tcPr>
            <w:tcW w:w="1094" w:type="dxa"/>
            <w:gridSpan w:val="2"/>
            <w:vAlign w:val="center"/>
          </w:tcPr>
          <w:p>
            <w:pPr>
              <w:pStyle w:val="Other|1"/>
              <w:spacing w:line="240" w:lineRule="auto"/>
              <w:ind w:left="0" w:firstLine="0" w:leftChars="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11</w:t>
            </w:r>
          </w:p>
        </w:tc>
        <w:tc>
          <w:tcPr>
            <w:tcW w:w="937" w:type="dxa"/>
            <w:vAlign w:val="center"/>
          </w:tcPr>
          <w:p>
            <w:pPr>
              <w:pStyle w:val="Other|1"/>
              <w:spacing w:line="240" w:lineRule="auto"/>
              <w:ind w:right="380" w:firstLine="0" w:rightChars="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12</w:t>
            </w:r>
          </w:p>
        </w:tc>
        <w:tc>
          <w:tcPr>
            <w:tcW w:w="989" w:type="dxa"/>
            <w:vAlign w:val="center"/>
          </w:tcPr>
          <w:p>
            <w:pPr>
              <w:pStyle w:val="Other|1"/>
              <w:spacing w:line="240" w:lineRule="auto"/>
              <w:ind w:right="420" w:firstLine="0" w:rightChars="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13</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cantSplit/>
          <w:trHeight w:val="90"/>
        </w:trPr>
        <w:tc>
          <w:tcPr>
            <w:tcW w:w="1636"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127005</w:t>
            </w:r>
          </w:p>
        </w:tc>
        <w:tc>
          <w:tcPr>
            <w:tcW w:w="1279" w:type="dxa"/>
          </w:tcPr>
          <w:p>
            <w:pPr>
              <w:pStyle w:val="Other|1"/>
              <w:spacing w:line="326" w:lineRule="exact"/>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河池市纤维检验所</w:t>
            </w:r>
          </w:p>
        </w:tc>
        <w:tc>
          <w:tcPr>
            <w:tcW w:w="990" w:type="dxa"/>
            <w:vAlign w:val="center"/>
          </w:tcPr>
          <w:p>
            <w:pPr>
              <w:pStyle w:val="Other|1"/>
              <w:spacing w:line="240" w:lineRule="auto"/>
              <w:ind w:left="0" w:firstLine="0" w:leftChars="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113.11</w:t>
            </w:r>
          </w:p>
        </w:tc>
        <w:tc>
          <w:tcPr>
            <w:tcW w:w="926" w:type="dxa"/>
            <w:vAlign w:val="center"/>
          </w:tcPr>
          <w:p>
            <w:pPr>
              <w:pStyle w:val="Other|1"/>
              <w:spacing w:line="240" w:lineRule="auto"/>
              <w:ind w:left="0" w:firstLine="0" w:leftChars="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113.11</w:t>
            </w:r>
          </w:p>
        </w:tc>
        <w:tc>
          <w:tcPr>
            <w:tcW w:w="909" w:type="dxa"/>
            <w:vAlign w:val="center"/>
          </w:tcPr>
          <w:p>
            <w:pPr>
              <w:pStyle w:val="Other|1"/>
              <w:spacing w:line="240" w:lineRule="auto"/>
              <w:ind w:left="0" w:firstLine="0" w:leftChars="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113.11</w:t>
            </w:r>
          </w:p>
        </w:tc>
        <w:tc>
          <w:tcPr>
            <w:tcW w:w="968" w:type="dxa"/>
            <w:vAlign w:val="center"/>
          </w:tcPr>
          <w:p>
            <w:pPr>
              <w:pStyle w:val="Other|1"/>
              <w:spacing w:line="240" w:lineRule="auto"/>
              <w:ind w:left="0" w:firstLine="0" w:leftChars="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c>
          <w:tcPr>
            <w:tcW w:w="990" w:type="dxa"/>
            <w:vAlign w:val="center"/>
          </w:tcPr>
          <w:p>
            <w:pPr>
              <w:pStyle w:val="Other|1"/>
              <w:spacing w:line="240" w:lineRule="auto"/>
              <w:ind w:left="0" w:firstLine="0" w:leftChars="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c>
          <w:tcPr>
            <w:tcW w:w="1078"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c>
          <w:tcPr>
            <w:tcW w:w="97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c>
          <w:tcPr>
            <w:tcW w:w="919" w:type="dxa"/>
            <w:vAlign w:val="center"/>
          </w:tcPr>
          <w:p>
            <w:pPr>
              <w:spacing w:line="240" w:lineRule="auto"/>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c>
          <w:tcPr>
            <w:tcW w:w="1011" w:type="dxa"/>
            <w:vAlign w:val="center"/>
          </w:tcPr>
          <w:p>
            <w:pPr>
              <w:spacing w:line="240" w:lineRule="auto"/>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c>
          <w:tcPr>
            <w:tcW w:w="859" w:type="dxa"/>
            <w:vAlign w:val="center"/>
          </w:tcPr>
          <w:p>
            <w:pPr>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c>
          <w:tcPr>
            <w:tcW w:w="1094" w:type="dxa"/>
            <w:gridSpan w:val="2"/>
            <w:vAlign w:val="center"/>
          </w:tcPr>
          <w:p>
            <w:pPr>
              <w:spacing w:line="240" w:lineRule="auto"/>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c>
          <w:tcPr>
            <w:tcW w:w="937" w:type="dxa"/>
            <w:vAlign w:val="center"/>
          </w:tcPr>
          <w:p>
            <w:pPr>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c>
          <w:tcPr>
            <w:tcW w:w="989" w:type="dxa"/>
            <w:vAlign w:val="center"/>
          </w:tcPr>
          <w:p>
            <w:pPr>
              <w:spacing w:line="240" w:lineRule="auto"/>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cantSplit/>
        </w:trPr>
        <w:tc>
          <w:tcPr>
            <w:tcW w:w="15557" w:type="dxa"/>
            <w:gridSpan w:val="16"/>
            <w:tcBorders>
              <w:left w:val="nil"/>
              <w:bottom w:val="nil"/>
              <w:right w:val="nil"/>
            </w:tcBorders>
          </w:tcPr>
          <w:p>
            <w:pPr>
              <w:pStyle w:val="Tablecaption|1"/>
              <w:jc w:val="left"/>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注：本报表金额单位转换时可能存在四舍五入尾数误差。</w:t>
            </w:r>
          </w:p>
        </w:tc>
      </w:tr>
    </w:tbl>
    <w:p>
      <w:pPr>
        <w:tabs>
          <w:tab w:val="left" w:pos="859"/>
        </w:tabs>
        <w:jc w:val="both"/>
        <w:rPr>
          <w:rFonts w:ascii="宋体" w:eastAsia="宋体" w:hAnsi="宋体" w:asciiTheme="minorEastAsia" w:eastAsiaTheme="minorEastAsia" w:hAnsiTheme="minorEastAsia" w:cs="Arial" w:cstheme="minorEastAsia" w:hint="eastAsia"/>
          <w:sz w:val="32"/>
          <w:szCs w:val="32"/>
          <w:lang w:val="en-US" w:eastAsia="zh-CN"/>
        </w:rPr>
      </w:pPr>
    </w:p>
    <w:p>
      <w:pPr>
        <w:tabs>
          <w:tab w:val="left" w:pos="859"/>
        </w:tabs>
        <w:jc w:val="center"/>
        <w:rPr>
          <w:rFonts w:ascii="宋体" w:eastAsia="宋体" w:hAnsi="宋体" w:asciiTheme="minorEastAsia" w:eastAsiaTheme="minorEastAsia" w:hAnsiTheme="minorEastAsia" w:cs="Arial" w:cstheme="minorEastAsia" w:hint="eastAsia"/>
          <w:sz w:val="32"/>
          <w:szCs w:val="32"/>
          <w:lang w:val="en-US" w:eastAsia="zh-CN"/>
        </w:rPr>
      </w:pPr>
    </w:p>
    <w:p>
      <w:pPr>
        <w:tabs>
          <w:tab w:val="left" w:pos="859"/>
        </w:tabs>
        <w:jc w:val="both"/>
        <w:rPr>
          <w:rFonts w:ascii="宋体" w:eastAsia="宋体" w:hAnsi="宋体" w:asciiTheme="minorEastAsia" w:eastAsiaTheme="minorEastAsia" w:hAnsiTheme="minorEastAsia" w:cs="Arial" w:cstheme="minorEastAsia" w:hint="eastAsia"/>
          <w:sz w:val="32"/>
          <w:szCs w:val="32"/>
          <w:lang w:val="en-US" w:eastAsia="zh-CN"/>
        </w:rPr>
      </w:pPr>
    </w:p>
    <w:p>
      <w:pPr>
        <w:spacing w:line="1" w:lineRule="exact"/>
        <w:jc w:val="left"/>
        <w:rPr>
          <w:rFonts w:ascii="宋体" w:eastAsia="宋体" w:hAnsi="宋体" w:asciiTheme="minorEastAsia" w:eastAsiaTheme="minorEastAsia" w:hAnsiTheme="minorEastAsia" w:cs="Arial" w:cstheme="minorEastAsia" w:hint="eastAsia"/>
          <w:sz w:val="32"/>
          <w:szCs w:val="32"/>
          <w:lang w:eastAsia="zh-CN"/>
        </w:rPr>
        <w:sectPr>
          <w:headerReference w:type="default" r:id="rId18"/>
          <w:footerReference w:type="default" r:id="rId19"/>
          <w:pgSz w:w="16840" w:h="11900" w:orient="landscape"/>
          <w:pgMar w:top="2709" w:right="764" w:bottom="2709" w:left="735" w:header="2281" w:footer="1474" w:gutter="0"/>
          <w:pgBorders>
            <w:top w:val="none" w:sz="0" w:space="0" w:color="auto"/>
            <w:left w:val="none" w:sz="0" w:space="0" w:color="auto"/>
            <w:bottom w:val="none" w:sz="0" w:space="0" w:color="auto"/>
            <w:right w:val="none" w:sz="0" w:space="0" w:color="auto"/>
          </w:pgBorders>
          <w:pgNumType w:fmt="decimal"/>
          <w:cols w:num="1" w:space="720">
            <w:col w:w="15341" w:space="720"/>
          </w:cols>
          <w:docGrid w:linePitch="360" w:charSpace="0"/>
        </w:sectPr>
      </w:pPr>
    </w:p>
    <w:p>
      <w:pPr>
        <w:pStyle w:val="Heading#2|1"/>
        <w:keepNext/>
        <w:keepLines/>
        <w:tabs>
          <w:tab w:val="center" w:pos="7730"/>
          <w:tab w:val="left" w:pos="14602"/>
        </w:tabs>
        <w:spacing w:after="240"/>
        <w:jc w:val="center"/>
        <w:rPr>
          <w:rFonts w:ascii="宋体" w:eastAsia="宋体" w:hAnsi="宋体" w:asciiTheme="minorEastAsia" w:eastAsiaTheme="minorEastAsia" w:hAnsiTheme="minorEastAsia" w:cs="Arial" w:cstheme="minorEastAsia" w:hint="eastAsia"/>
          <w:sz w:val="32"/>
          <w:szCs w:val="32"/>
          <w:lang w:val="en-US" w:eastAsia="zh-CN"/>
        </w:rPr>
      </w:pPr>
      <w:bookmarkStart w:id="19" w:name="bookmark41"/>
      <w:bookmarkStart w:id="20" w:name="bookmark42"/>
      <w:bookmarkStart w:id="21" w:name="bookmark43"/>
      <w:r>
        <w:rPr>
          <w:rFonts w:ascii="宋体" w:eastAsia="宋体" w:hAnsi="宋体" w:asciiTheme="minorEastAsia" w:eastAsiaTheme="minorEastAsia" w:hAnsiTheme="minorEastAsia" w:cs="Arial" w:cstheme="minorEastAsia" w:hint="eastAsia"/>
          <w:sz w:val="32"/>
          <w:szCs w:val="32"/>
        </w:rPr>
        <w:t xml:space="preserve">支出总体情况表</w:t>
      </w:r>
      <w:bookmarkEnd w:id="19"/>
      <w:bookmarkEnd w:id="20"/>
      <w:bookmarkEnd w:id="21"/>
    </w:p>
    <w:tbl>
      <w:tblPr>
        <w:tblStyle w:val="TableNormal"/>
        <w:tblW w:w="5000" w:type="pct"/>
        <w:tblInd w:w="0" w:type="dxa"/>
        <w:tblLayout w:type="fixed"/>
        <w:tblCellMar>
          <w:top w:w="0" w:type="dxa"/>
          <w:left w:w="10" w:type="dxa"/>
          <w:bottom w:w="0" w:type="dxa"/>
          <w:right w:w="10" w:type="dxa"/>
        </w:tblCellMar>
        <w:tblLook w:firstRow="0" w:lastRow="0" w:firstColumn="0" w:lastColumn="0" w:noHBand="1" w:noVBand="1"/>
      </w:tblPr>
      <w:tblGrid>
        <w:gridCol w:w="1846"/>
        <w:gridCol w:w="1937"/>
        <w:gridCol w:w="2393"/>
        <w:gridCol w:w="2283"/>
        <w:gridCol w:w="2302"/>
        <w:gridCol w:w="2225"/>
        <w:gridCol w:w="2375"/>
      </w:tblGrid>
      <w:tr>
        <w:tblPrEx>
          <w:tblW w:w="5000" w:type="pct"/>
          <w:tblInd w:w="0" w:type="dxa"/>
          <w:tblLayout w:type="fixed"/>
          <w:tblCellMar>
            <w:top w:w="0" w:type="dxa"/>
            <w:left w:w="10" w:type="dxa"/>
            <w:bottom w:w="0" w:type="dxa"/>
            <w:right w:w="10" w:type="dxa"/>
          </w:tblCellMar>
        </w:tblPrEx>
        <w:trPr>
          <w:cantSplit/>
          <w:trHeight w:hRule="exact" w:val="465"/>
        </w:trPr>
        <w:tc>
          <w:tcPr>
            <w:tcW w:w="12968" w:type="dxa"/>
            <w:gridSpan w:val="6"/>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rPr>
            </w:pPr>
          </w:p>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单位名称：</w:t>
            </w:r>
            <w:r>
              <w:rPr>
                <w:rFonts w:ascii="宋体" w:eastAsia="宋体" w:hAnsi="宋体" w:asciiTheme="minorEastAsia" w:eastAsiaTheme="minorEastAsia" w:hAnsiTheme="minorEastAsia" w:cs="Arial" w:cstheme="minorEastAsia" w:hint="eastAsia"/>
                <w:sz w:val="18"/>
                <w:szCs w:val="18"/>
                <w:lang w:eastAsia="zh-CN"/>
              </w:rPr>
              <w:t xml:space="preserve">河池市纤维检验所</w:t>
            </w:r>
          </w:p>
        </w:tc>
        <w:tc>
          <w:tcPr>
            <w:tcW w:w="2371" w:type="dxa"/>
            <w:shd w:val="clear" w:color="auto" w:fill="FFFFFF"/>
          </w:tcPr>
          <w:p>
            <w:pPr>
              <w:pStyle w:val="Other|1"/>
              <w:spacing w:line="240" w:lineRule="auto"/>
              <w:ind w:firstLine="1260" w:firstLineChars="700"/>
              <w:jc w:val="righ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lang w:val="en-US" w:eastAsia="zh-CN"/>
              </w:rPr>
              <w:t xml:space="preserve">表03</w:t>
            </w:r>
          </w:p>
          <w:p>
            <w:pPr>
              <w:pStyle w:val="Other|1"/>
              <w:spacing w:line="240" w:lineRule="auto"/>
              <w:ind w:firstLine="1260" w:firstLineChars="700"/>
              <w:jc w:val="righ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单位：万元</w:t>
            </w:r>
          </w:p>
        </w:tc>
      </w:tr>
      <w:tr>
        <w:tblPrEx>
          <w:tblW w:w="5000" w:type="pct"/>
          <w:tblInd w:w="0" w:type="dxa"/>
          <w:tblLayout w:type="fixed"/>
          <w:tblCellMar>
            <w:top w:w="0" w:type="dxa"/>
            <w:left w:w="10" w:type="dxa"/>
            <w:bottom w:w="0" w:type="dxa"/>
            <w:right w:w="10" w:type="dxa"/>
          </w:tblCellMar>
        </w:tblPrEx>
        <w:trPr>
          <w:cantSplit/>
          <w:trHeight w:hRule="exact" w:val="862"/>
        </w:trPr>
        <w:tc>
          <w:tcPr>
            <w:tcW w:w="1843" w:type="dxa"/>
            <w:tcBorders>
              <w:top w:val="single" w:sz="4" w:space="0" w:color="auto"/>
              <w:left w:val="single" w:sz="4" w:space="0" w:color="auto"/>
              <w:bottom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科目编码</w:t>
            </w:r>
          </w:p>
        </w:tc>
        <w:tc>
          <w:tcPr>
            <w:tcW w:w="1934" w:type="dxa"/>
            <w:tcBorders>
              <w:top w:val="single" w:sz="4" w:space="0" w:color="auto"/>
              <w:left w:val="single" w:sz="4" w:space="0" w:color="auto"/>
              <w:bottom w:val="single" w:sz="4" w:space="0" w:color="auto"/>
            </w:tcBorders>
            <w:shd w:val="clear" w:color="auto" w:fill="FFFFFF"/>
            <w:vAlign w:val="center"/>
          </w:tcPr>
          <w:p>
            <w:pPr>
              <w:pStyle w:val="Other|1"/>
              <w:spacing w:line="240" w:lineRule="auto"/>
              <w:ind w:firstLine="240"/>
              <w:jc w:val="lef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部门（单位）代码</w:t>
            </w:r>
          </w:p>
        </w:tc>
        <w:tc>
          <w:tcPr>
            <w:tcW w:w="2390" w:type="dxa"/>
            <w:tcBorders>
              <w:top w:val="single" w:sz="4" w:space="0" w:color="auto"/>
              <w:left w:val="single" w:sz="4" w:space="0" w:color="auto"/>
              <w:bottom w:val="single" w:sz="4" w:space="0" w:color="auto"/>
            </w:tcBorders>
            <w:shd w:val="clear" w:color="auto" w:fill="FFFFFF"/>
            <w:vAlign w:val="center"/>
          </w:tcPr>
          <w:p>
            <w:pPr>
              <w:pStyle w:val="Other|1"/>
              <w:spacing w:after="120" w:line="240" w:lineRule="auto"/>
              <w:ind w:firstLine="0"/>
              <w:jc w:val="lef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部门（单位）名称</w:t>
            </w:r>
          </w:p>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（功能分类科目名称）</w:t>
            </w:r>
          </w:p>
        </w:tc>
        <w:tc>
          <w:tcPr>
            <w:tcW w:w="2280" w:type="dxa"/>
            <w:tcBorders>
              <w:top w:val="single" w:sz="4" w:space="0" w:color="auto"/>
              <w:left w:val="single" w:sz="4" w:space="0" w:color="auto"/>
              <w:bottom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合计</w:t>
            </w:r>
          </w:p>
        </w:tc>
        <w:tc>
          <w:tcPr>
            <w:tcW w:w="2299" w:type="dxa"/>
            <w:tcBorders>
              <w:top w:val="single" w:sz="4" w:space="0" w:color="auto"/>
              <w:left w:val="single" w:sz="4" w:space="0" w:color="auto"/>
              <w:bottom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基本支出</w:t>
            </w:r>
          </w:p>
        </w:tc>
        <w:tc>
          <w:tcPr>
            <w:tcW w:w="2222" w:type="dxa"/>
            <w:tcBorders>
              <w:top w:val="single" w:sz="4" w:space="0" w:color="auto"/>
              <w:left w:val="single" w:sz="4" w:space="0" w:color="auto"/>
              <w:bottom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项目支出</w:t>
            </w:r>
          </w:p>
        </w:tc>
        <w:tc>
          <w:tcPr>
            <w:tcW w:w="2371"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结转下年支出</w:t>
            </w:r>
          </w:p>
        </w:tc>
      </w:tr>
      <w:tr>
        <w:tblPrEx>
          <w:tblW w:w="5000" w:type="pct"/>
          <w:tblInd w:w="0" w:type="dxa"/>
          <w:tblLayout w:type="fixed"/>
          <w:tblCellMar>
            <w:top w:w="0" w:type="dxa"/>
            <w:left w:w="10" w:type="dxa"/>
            <w:bottom w:w="0" w:type="dxa"/>
            <w:right w:w="10" w:type="dxa"/>
          </w:tblCellMar>
        </w:tblPrEx>
        <w:trPr>
          <w:cantSplit/>
          <w:trHeight w:hRule="exact" w:val="451"/>
        </w:trPr>
        <w:tc>
          <w:tcPr>
            <w:tcW w:w="1843"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p>
        </w:tc>
        <w:tc>
          <w:tcPr>
            <w:tcW w:w="1934"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p>
        </w:tc>
        <w:tc>
          <w:tcPr>
            <w:tcW w:w="239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合计</w:t>
            </w:r>
          </w:p>
        </w:tc>
        <w:tc>
          <w:tcPr>
            <w:tcW w:w="228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113.11</w:t>
            </w:r>
          </w:p>
        </w:tc>
        <w:tc>
          <w:tcPr>
            <w:tcW w:w="2299"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103.11</w:t>
            </w:r>
          </w:p>
        </w:tc>
        <w:tc>
          <w:tcPr>
            <w:tcW w:w="2222"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10.00</w:t>
            </w:r>
          </w:p>
        </w:tc>
        <w:tc>
          <w:tcPr>
            <w:tcW w:w="2371"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w:t>
            </w:r>
          </w:p>
        </w:tc>
      </w:tr>
      <w:tr>
        <w:tblPrEx>
          <w:tblW w:w="5000" w:type="pct"/>
          <w:tblInd w:w="0" w:type="dxa"/>
          <w:tblLayout w:type="fixed"/>
          <w:tblCellMar>
            <w:top w:w="0" w:type="dxa"/>
            <w:left w:w="10" w:type="dxa"/>
            <w:bottom w:w="0" w:type="dxa"/>
            <w:right w:w="10" w:type="dxa"/>
          </w:tblCellMar>
        </w:tblPrEx>
        <w:trPr>
          <w:cantSplit/>
          <w:trHeight w:hRule="exact" w:val="451"/>
        </w:trPr>
        <w:tc>
          <w:tcPr>
            <w:tcW w:w="1843"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p>
        </w:tc>
        <w:tc>
          <w:tcPr>
            <w:tcW w:w="1934"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127005</w:t>
            </w:r>
          </w:p>
        </w:tc>
        <w:tc>
          <w:tcPr>
            <w:tcW w:w="239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p>
        </w:tc>
        <w:tc>
          <w:tcPr>
            <w:tcW w:w="228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113.11</w:t>
            </w:r>
          </w:p>
        </w:tc>
        <w:tc>
          <w:tcPr>
            <w:tcW w:w="2299"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103.11</w:t>
            </w:r>
          </w:p>
        </w:tc>
        <w:tc>
          <w:tcPr>
            <w:tcW w:w="2222"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10.00</w:t>
            </w:r>
          </w:p>
        </w:tc>
        <w:tc>
          <w:tcPr>
            <w:tcW w:w="2371"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w:t>
            </w:r>
          </w:p>
        </w:tc>
      </w:tr>
      <w:tr>
        <w:tblPrEx>
          <w:tblW w:w="5000" w:type="pct"/>
          <w:tblInd w:w="0" w:type="dxa"/>
          <w:tblLayout w:type="fixed"/>
          <w:tblCellMar>
            <w:top w:w="0" w:type="dxa"/>
            <w:left w:w="10" w:type="dxa"/>
            <w:bottom w:w="0" w:type="dxa"/>
            <w:right w:w="10" w:type="dxa"/>
          </w:tblCellMar>
        </w:tblPrEx>
        <w:trPr>
          <w:cantSplit/>
          <w:trHeight w:hRule="exact" w:val="451"/>
        </w:trPr>
        <w:tc>
          <w:tcPr>
            <w:tcW w:w="1843"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2013850</w:t>
            </w:r>
          </w:p>
        </w:tc>
        <w:tc>
          <w:tcPr>
            <w:tcW w:w="1934"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p>
        </w:tc>
        <w:tc>
          <w:tcPr>
            <w:tcW w:w="239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事业运行</w:t>
            </w:r>
          </w:p>
        </w:tc>
        <w:tc>
          <w:tcPr>
            <w:tcW w:w="228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72.25</w:t>
            </w:r>
          </w:p>
        </w:tc>
        <w:tc>
          <w:tcPr>
            <w:tcW w:w="2299"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62.25</w:t>
            </w:r>
          </w:p>
        </w:tc>
        <w:tc>
          <w:tcPr>
            <w:tcW w:w="2222"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10.00</w:t>
            </w:r>
          </w:p>
        </w:tc>
        <w:tc>
          <w:tcPr>
            <w:tcW w:w="2371"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w:t>
            </w:r>
          </w:p>
        </w:tc>
      </w:tr>
      <w:tr>
        <w:tblPrEx>
          <w:tblW w:w="5000" w:type="pct"/>
          <w:tblInd w:w="0" w:type="dxa"/>
          <w:tblLayout w:type="fixed"/>
          <w:tblCellMar>
            <w:top w:w="0" w:type="dxa"/>
            <w:left w:w="10" w:type="dxa"/>
            <w:bottom w:w="0" w:type="dxa"/>
            <w:right w:w="10" w:type="dxa"/>
          </w:tblCellMar>
        </w:tblPrEx>
        <w:trPr>
          <w:cantSplit/>
          <w:trHeight w:hRule="exact" w:val="451"/>
        </w:trPr>
        <w:tc>
          <w:tcPr>
            <w:tcW w:w="1843"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2080505</w:t>
            </w:r>
          </w:p>
        </w:tc>
        <w:tc>
          <w:tcPr>
            <w:tcW w:w="1934"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p>
        </w:tc>
        <w:tc>
          <w:tcPr>
            <w:tcW w:w="239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机关事业单位基本养老保险缴费支出</w:t>
            </w:r>
          </w:p>
        </w:tc>
        <w:tc>
          <w:tcPr>
            <w:tcW w:w="228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13.79</w:t>
            </w:r>
          </w:p>
        </w:tc>
        <w:tc>
          <w:tcPr>
            <w:tcW w:w="2299"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13.79</w:t>
            </w:r>
          </w:p>
        </w:tc>
        <w:tc>
          <w:tcPr>
            <w:tcW w:w="2222"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2371"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w:t>
            </w:r>
          </w:p>
        </w:tc>
      </w:tr>
      <w:tr>
        <w:tblPrEx>
          <w:tblW w:w="5000" w:type="pct"/>
          <w:tblInd w:w="0" w:type="dxa"/>
          <w:tblLayout w:type="fixed"/>
          <w:tblCellMar>
            <w:top w:w="0" w:type="dxa"/>
            <w:left w:w="10" w:type="dxa"/>
            <w:bottom w:w="0" w:type="dxa"/>
            <w:right w:w="10" w:type="dxa"/>
          </w:tblCellMar>
        </w:tblPrEx>
        <w:trPr>
          <w:cantSplit/>
          <w:trHeight w:hRule="exact" w:val="451"/>
        </w:trPr>
        <w:tc>
          <w:tcPr>
            <w:tcW w:w="1843"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2080506</w:t>
            </w:r>
          </w:p>
        </w:tc>
        <w:tc>
          <w:tcPr>
            <w:tcW w:w="1934"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p>
        </w:tc>
        <w:tc>
          <w:tcPr>
            <w:tcW w:w="239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机关事业单位职业年金缴费支出</w:t>
            </w:r>
          </w:p>
        </w:tc>
        <w:tc>
          <w:tcPr>
            <w:tcW w:w="228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6.90</w:t>
            </w:r>
          </w:p>
        </w:tc>
        <w:tc>
          <w:tcPr>
            <w:tcW w:w="2299"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6.90</w:t>
            </w:r>
          </w:p>
        </w:tc>
        <w:tc>
          <w:tcPr>
            <w:tcW w:w="2222"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2371"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w:t>
            </w:r>
          </w:p>
        </w:tc>
      </w:tr>
      <w:tr>
        <w:tblPrEx>
          <w:tblW w:w="5000" w:type="pct"/>
          <w:tblInd w:w="0" w:type="dxa"/>
          <w:tblLayout w:type="fixed"/>
          <w:tblCellMar>
            <w:top w:w="0" w:type="dxa"/>
            <w:left w:w="10" w:type="dxa"/>
            <w:bottom w:w="0" w:type="dxa"/>
            <w:right w:w="10" w:type="dxa"/>
          </w:tblCellMar>
        </w:tblPrEx>
        <w:trPr>
          <w:cantSplit/>
          <w:trHeight w:hRule="exact" w:val="451"/>
        </w:trPr>
        <w:tc>
          <w:tcPr>
            <w:tcW w:w="1843"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2089999</w:t>
            </w:r>
          </w:p>
        </w:tc>
        <w:tc>
          <w:tcPr>
            <w:tcW w:w="1934"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p>
        </w:tc>
        <w:tc>
          <w:tcPr>
            <w:tcW w:w="239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其他社会保障和就业支出</w:t>
            </w:r>
          </w:p>
        </w:tc>
        <w:tc>
          <w:tcPr>
            <w:tcW w:w="228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0.43</w:t>
            </w:r>
          </w:p>
        </w:tc>
        <w:tc>
          <w:tcPr>
            <w:tcW w:w="2299"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0.43</w:t>
            </w:r>
          </w:p>
        </w:tc>
        <w:tc>
          <w:tcPr>
            <w:tcW w:w="2222"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2371"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w:t>
            </w:r>
          </w:p>
        </w:tc>
      </w:tr>
      <w:tr>
        <w:tblPrEx>
          <w:tblW w:w="5000" w:type="pct"/>
          <w:tblInd w:w="0" w:type="dxa"/>
          <w:tblLayout w:type="fixed"/>
          <w:tblCellMar>
            <w:top w:w="0" w:type="dxa"/>
            <w:left w:w="10" w:type="dxa"/>
            <w:bottom w:w="0" w:type="dxa"/>
            <w:right w:w="10" w:type="dxa"/>
          </w:tblCellMar>
        </w:tblPrEx>
        <w:trPr>
          <w:cantSplit/>
          <w:trHeight w:hRule="exact" w:val="451"/>
        </w:trPr>
        <w:tc>
          <w:tcPr>
            <w:tcW w:w="1843"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2101102</w:t>
            </w:r>
          </w:p>
        </w:tc>
        <w:tc>
          <w:tcPr>
            <w:tcW w:w="1934"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p>
        </w:tc>
        <w:tc>
          <w:tcPr>
            <w:tcW w:w="239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事业单位医疗</w:t>
            </w:r>
          </w:p>
        </w:tc>
        <w:tc>
          <w:tcPr>
            <w:tcW w:w="228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5.96</w:t>
            </w:r>
          </w:p>
        </w:tc>
        <w:tc>
          <w:tcPr>
            <w:tcW w:w="2299"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5.96</w:t>
            </w:r>
          </w:p>
        </w:tc>
        <w:tc>
          <w:tcPr>
            <w:tcW w:w="2222"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2371"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w:t>
            </w:r>
          </w:p>
        </w:tc>
      </w:tr>
      <w:tr>
        <w:tblPrEx>
          <w:tblW w:w="5000" w:type="pct"/>
          <w:tblInd w:w="0" w:type="dxa"/>
          <w:tblLayout w:type="fixed"/>
          <w:tblCellMar>
            <w:top w:w="0" w:type="dxa"/>
            <w:left w:w="10" w:type="dxa"/>
            <w:bottom w:w="0" w:type="dxa"/>
            <w:right w:w="10" w:type="dxa"/>
          </w:tblCellMar>
        </w:tblPrEx>
        <w:trPr>
          <w:cantSplit/>
          <w:trHeight w:hRule="exact" w:val="451"/>
        </w:trPr>
        <w:tc>
          <w:tcPr>
            <w:tcW w:w="1843"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2101103</w:t>
            </w:r>
          </w:p>
        </w:tc>
        <w:tc>
          <w:tcPr>
            <w:tcW w:w="1934"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p>
        </w:tc>
        <w:tc>
          <w:tcPr>
            <w:tcW w:w="239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公务员医疗补助</w:t>
            </w:r>
          </w:p>
        </w:tc>
        <w:tc>
          <w:tcPr>
            <w:tcW w:w="228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3.45</w:t>
            </w:r>
          </w:p>
        </w:tc>
        <w:tc>
          <w:tcPr>
            <w:tcW w:w="2299"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3.45</w:t>
            </w:r>
          </w:p>
        </w:tc>
        <w:tc>
          <w:tcPr>
            <w:tcW w:w="2222"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2371"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w:t>
            </w:r>
          </w:p>
        </w:tc>
      </w:tr>
      <w:tr>
        <w:tblPrEx>
          <w:tblW w:w="5000" w:type="pct"/>
          <w:tblInd w:w="0" w:type="dxa"/>
          <w:tblLayout w:type="fixed"/>
          <w:tblCellMar>
            <w:top w:w="0" w:type="dxa"/>
            <w:left w:w="10" w:type="dxa"/>
            <w:bottom w:w="0" w:type="dxa"/>
            <w:right w:w="10" w:type="dxa"/>
          </w:tblCellMar>
        </w:tblPrEx>
        <w:trPr>
          <w:cantSplit/>
          <w:trHeight w:hRule="exact" w:val="451"/>
        </w:trPr>
        <w:tc>
          <w:tcPr>
            <w:tcW w:w="1843"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2210201</w:t>
            </w:r>
          </w:p>
        </w:tc>
        <w:tc>
          <w:tcPr>
            <w:tcW w:w="1934"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p>
        </w:tc>
        <w:tc>
          <w:tcPr>
            <w:tcW w:w="239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住房公积金</w:t>
            </w:r>
          </w:p>
        </w:tc>
        <w:tc>
          <w:tcPr>
            <w:tcW w:w="228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10.34</w:t>
            </w:r>
          </w:p>
        </w:tc>
        <w:tc>
          <w:tcPr>
            <w:tcW w:w="2299"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10.34</w:t>
            </w:r>
          </w:p>
        </w:tc>
        <w:tc>
          <w:tcPr>
            <w:tcW w:w="2222"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2371"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w:t>
            </w:r>
          </w:p>
        </w:tc>
      </w:tr>
    </w:tbl>
    <w:p>
      <w:pPr>
        <w:pStyle w:val="Tablecaption|1"/>
        <w:keepNext w:val="0"/>
        <w:keepLines w:val="0"/>
        <w:pageBreakBefore w:val="0"/>
        <w:widowControl w:val="0"/>
        <w:kinsoku/>
        <w:wordWrap/>
        <w:overflowPunct/>
        <w:topLinePunct w:val="0"/>
        <w:autoSpaceDE/>
        <w:autoSpaceDN/>
        <w:bidi w:val="0"/>
        <w:adjustRightInd/>
        <w:snapToGrid/>
        <w:ind w:left="0"/>
        <w:jc w:val="left"/>
        <w:textAlignment w:val="auto"/>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b w:val="0"/>
          <w:bCs w:val="0"/>
          <w:sz w:val="18"/>
          <w:szCs w:val="18"/>
        </w:rPr>
        <w:t xml:space="preserve">注：本报表金额单位转换时可能存在四舍五入尾数误差。</w:t>
      </w:r>
      <w:r>
        <w:br w:type="page"/>
      </w:r>
    </w:p>
    <w:p>
      <w:pPr>
        <w:pStyle w:val="Heading#2|1"/>
        <w:keepNext/>
        <w:keepLines/>
        <w:tabs>
          <w:tab w:val="center" w:pos="7730"/>
          <w:tab w:val="left" w:pos="13278"/>
        </w:tabs>
        <w:spacing w:after="240"/>
        <w:jc w:val="center"/>
        <w:rPr>
          <w:rFonts w:ascii="宋体" w:eastAsia="宋体" w:hAnsi="宋体" w:asciiTheme="minorEastAsia" w:eastAsiaTheme="minorEastAsia" w:hAnsiTheme="minorEastAsia" w:cs="Arial" w:cstheme="minorEastAsia" w:hint="eastAsia"/>
          <w:sz w:val="32"/>
          <w:szCs w:val="32"/>
          <w:lang w:val="en-US" w:eastAsia="zh-CN"/>
        </w:rPr>
      </w:pPr>
      <w:r>
        <w:rPr>
          <w:rFonts w:ascii="宋体" w:eastAsia="宋体" w:hAnsi="宋体" w:asciiTheme="minorEastAsia" w:eastAsiaTheme="minorEastAsia" w:hAnsiTheme="minorEastAsia" w:cs="Arial" w:cstheme="minorEastAsia" w:hint="eastAsia"/>
          <w:sz w:val="32"/>
          <w:szCs w:val="32"/>
        </w:rPr>
        <w:t xml:space="preserve">财政拨款收支总体情况</w:t>
      </w:r>
    </w:p>
    <w:tbl>
      <w:tblPr>
        <w:tblStyle w:val="TableNormal"/>
        <w:tblW w:w="5000" w:type="pct"/>
        <w:tblInd w:w="0" w:type="dxa"/>
        <w:tblLayout w:type="fixed"/>
        <w:tblCellMar>
          <w:top w:w="0" w:type="dxa"/>
          <w:left w:w="10" w:type="dxa"/>
          <w:bottom w:w="0" w:type="dxa"/>
          <w:right w:w="10" w:type="dxa"/>
        </w:tblCellMar>
        <w:tblLook w:firstRow="0" w:lastRow="0" w:firstColumn="0" w:lastColumn="0" w:noHBand="1" w:noVBand="1"/>
      </w:tblPr>
      <w:tblGrid>
        <w:gridCol w:w="3608"/>
        <w:gridCol w:w="4065"/>
        <w:gridCol w:w="3828"/>
        <w:gridCol w:w="3860"/>
      </w:tblGrid>
      <w:tr>
        <w:tblPrEx>
          <w:tblW w:w="5000" w:type="pct"/>
          <w:tblInd w:w="0" w:type="dxa"/>
          <w:tblLayout w:type="fixed"/>
          <w:tblCellMar>
            <w:top w:w="0" w:type="dxa"/>
            <w:left w:w="10" w:type="dxa"/>
            <w:bottom w:w="0" w:type="dxa"/>
            <w:right w:w="10" w:type="dxa"/>
          </w:tblCellMar>
        </w:tblPrEx>
        <w:trPr>
          <w:cantSplit/>
          <w:trHeight w:hRule="exact" w:val="441"/>
        </w:trPr>
        <w:tc>
          <w:tcPr>
            <w:tcW w:w="11501" w:type="dxa"/>
            <w:gridSpan w:val="3"/>
            <w:tcBorders>
              <w:bottom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rPr>
            </w:pPr>
          </w:p>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单位名称：</w:t>
            </w:r>
            <w:r>
              <w:rPr>
                <w:rFonts w:ascii="宋体" w:eastAsia="宋体" w:hAnsi="宋体" w:asciiTheme="minorEastAsia" w:eastAsiaTheme="minorEastAsia" w:hAnsiTheme="minorEastAsia" w:cs="Arial" w:cstheme="minorEastAsia" w:hint="eastAsia"/>
                <w:sz w:val="18"/>
                <w:szCs w:val="18"/>
                <w:lang w:eastAsia="zh-CN"/>
              </w:rPr>
              <w:t xml:space="preserve">河池市纤维检验所</w:t>
            </w:r>
          </w:p>
        </w:tc>
        <w:tc>
          <w:tcPr>
            <w:tcW w:w="3860" w:type="dxa"/>
            <w:tcBorders>
              <w:bottom w:val="single" w:sz="4" w:space="0" w:color="auto"/>
            </w:tcBorders>
            <w:shd w:val="clear" w:color="auto" w:fill="FFFFFF"/>
          </w:tcPr>
          <w:p>
            <w:pPr>
              <w:pStyle w:val="Other|1"/>
              <w:spacing w:line="240" w:lineRule="auto"/>
              <w:ind w:firstLine="2095" w:firstLineChars="1164"/>
              <w:jc w:val="righ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lang w:val="en-US" w:eastAsia="zh-CN"/>
              </w:rPr>
              <w:t xml:space="preserve">表04</w:t>
            </w:r>
          </w:p>
          <w:p>
            <w:pPr>
              <w:pStyle w:val="Other|1"/>
              <w:spacing w:line="240" w:lineRule="auto"/>
              <w:ind w:firstLine="2095" w:firstLineChars="1164"/>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rPr>
              <w:t xml:space="preserve">单位：万元</w:t>
            </w:r>
          </w:p>
        </w:tc>
      </w:tr>
      <w:tr>
        <w:tblPrEx>
          <w:tblW w:w="5000" w:type="pct"/>
          <w:tblInd w:w="0" w:type="dxa"/>
          <w:tblLayout w:type="fixed"/>
          <w:tblCellMar>
            <w:top w:w="0" w:type="dxa"/>
            <w:left w:w="10" w:type="dxa"/>
            <w:bottom w:w="0" w:type="dxa"/>
            <w:right w:w="10" w:type="dxa"/>
          </w:tblCellMar>
        </w:tblPrEx>
        <w:trPr>
          <w:cantSplit/>
          <w:trHeight w:hRule="exact" w:val="451"/>
        </w:trPr>
        <w:tc>
          <w:tcPr>
            <w:tcW w:w="767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3060" w:firstLineChars="1700"/>
              <w:jc w:val="both"/>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收</w:t>
            </w:r>
            <w:r>
              <w:rPr>
                <w:rFonts w:ascii="宋体" w:eastAsia="宋体" w:hAnsi="宋体" w:asciiTheme="minorEastAsia" w:eastAsiaTheme="minorEastAsia" w:hAnsiTheme="minorEastAsia" w:cs="Arial" w:cstheme="minorEastAsia" w:hint="eastAsia"/>
                <w:sz w:val="18"/>
                <w:szCs w:val="18"/>
              </w:rPr>
              <w:t xml:space="preserve">入</w:t>
            </w:r>
          </w:p>
        </w:tc>
        <w:tc>
          <w:tcPr>
            <w:tcW w:w="768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right="340" w:firstLine="3060" w:firstLineChars="1700"/>
              <w:jc w:val="both"/>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支</w:t>
            </w:r>
            <w:r>
              <w:rPr>
                <w:rFonts w:ascii="宋体" w:eastAsia="宋体" w:hAnsi="宋体" w:asciiTheme="minorEastAsia" w:eastAsiaTheme="minorEastAsia" w:hAnsiTheme="minorEastAsia" w:cs="Arial" w:cstheme="minorEastAsia" w:hint="eastAsia"/>
                <w:sz w:val="18"/>
                <w:szCs w:val="18"/>
              </w:rPr>
              <w:t xml:space="preserve">出</w:t>
            </w:r>
          </w:p>
        </w:tc>
      </w:tr>
      <w:tr>
        <w:tblPrEx>
          <w:tblW w:w="5000" w:type="pct"/>
          <w:tblInd w:w="0" w:type="dxa"/>
          <w:tblLayout w:type="fixed"/>
          <w:tblCellMar>
            <w:top w:w="0" w:type="dxa"/>
            <w:left w:w="10" w:type="dxa"/>
            <w:bottom w:w="0" w:type="dxa"/>
            <w:right w:w="10" w:type="dxa"/>
          </w:tblCellMar>
        </w:tblPrEx>
        <w:trPr>
          <w:cantSplit/>
          <w:trHeight w:hRule="exact" w:val="428"/>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center"/>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项目</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center"/>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预算数</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tabs>
                <w:tab w:val="left" w:pos="894"/>
              </w:tabs>
              <w:spacing w:line="240" w:lineRule="auto"/>
              <w:jc w:val="center"/>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项</w:t>
            </w:r>
            <w:r>
              <w:rPr>
                <w:rFonts w:ascii="宋体" w:eastAsia="宋体" w:hAnsi="宋体" w:asciiTheme="minorEastAsia" w:eastAsiaTheme="minorEastAsia" w:hAnsiTheme="minorEastAsia" w:cs="Arial" w:cstheme="minorEastAsia" w:hint="eastAsia"/>
                <w:sz w:val="18"/>
                <w:szCs w:val="18"/>
              </w:rPr>
              <w:tab/>
            </w:r>
            <w:r>
              <w:rPr>
                <w:rFonts w:ascii="宋体" w:eastAsia="宋体" w:hAnsi="宋体" w:asciiTheme="minorEastAsia" w:eastAsiaTheme="minorEastAsia" w:hAnsiTheme="minorEastAsia" w:cs="Arial" w:cstheme="minorEastAsia" w:hint="eastAsia"/>
                <w:sz w:val="18"/>
                <w:szCs w:val="18"/>
              </w:rPr>
              <w:t xml:space="preserve">目（按支出功能科目分类）</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center"/>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预算数</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一、一般公共预算拨款</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113.11</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一、一般公共服务支出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72.25</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1、上级补助</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二、外交支出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2、本级</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113.11</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三、国防支出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二、政府性基金预算拨款</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四、公共安全支出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1、上级补助</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五、教育支出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2、本级</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六、科学技术支出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三、国有资本经营预算拨款</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七、文化旅游体育与传媒支出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1、上级补助</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八、社会保障和就业支出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21.12</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2、本级</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九、卫生健康支出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9.40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四、财政专户管理资金收入</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十、节能环保支出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五、事业收入</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十一、城乡社区支出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六、事业单位经营收入</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十二、农林水支出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七、上级补助收入</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十三、交通运输支出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八、附属单位上缴收入</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十四、资源勘探工业信息等支出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九、其他收入</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十五、商业服务业等支出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十六、金融支出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十七、援助其他地区支出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十八、自然资源海洋气象等支出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十九、住房保障支出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10.34</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二十、粮油物资储备支出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二十一、国有资本经营预算支出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二十二、灾害防治及应急管理支出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二十三、其他支出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二十四、债务还本支出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二十五、债务付息支出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二十六、债务发行费用支出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本年收入合计</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113.11</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本年支出合计</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113.11</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上年结转结余</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结转下年支出</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0.00</w:t>
            </w:r>
          </w:p>
        </w:tc>
      </w:tr>
      <w:tr>
        <w:tblPrEx>
          <w:tblW w:w="5000" w:type="pct"/>
          <w:tblInd w:w="0" w:type="dxa"/>
          <w:tblLayout w:type="fixed"/>
          <w:tblCellMar>
            <w:top w:w="0" w:type="dxa"/>
            <w:left w:w="10" w:type="dxa"/>
            <w:bottom w:w="0" w:type="dxa"/>
            <w:right w:w="10" w:type="dxa"/>
          </w:tblCellMar>
        </w:tblPrEx>
        <w:trPr>
          <w:cantSplit/>
          <w:trHeight w:hRule="exact" w:val="456"/>
        </w:trPr>
        <w:tc>
          <w:tcPr>
            <w:tcW w:w="360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firstLineChars="100"/>
              <w:jc w:val="both"/>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收入总计</w:t>
            </w:r>
          </w:p>
        </w:tc>
        <w:tc>
          <w:tcPr>
            <w:tcW w:w="4065"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113.11</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180"/>
              <w:jc w:val="lef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支出总计</w:t>
            </w:r>
          </w:p>
        </w:tc>
        <w:tc>
          <w:tcPr>
            <w:tcW w:w="3860" w:type="dxa"/>
            <w:tcBorders>
              <w:top w:val="single" w:sz="4" w:space="0" w:color="auto"/>
              <w:left w:val="single" w:sz="4" w:space="0" w:color="auto"/>
              <w:bottom w:val="single" w:sz="4" w:space="0" w:color="auto"/>
              <w:right w:val="single" w:sz="4" w:space="0" w:color="auto"/>
            </w:tcBorders>
            <w:shd w:val="clear" w:color="auto" w:fill="auto"/>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113.11</w:t>
            </w:r>
          </w:p>
        </w:tc>
      </w:tr>
    </w:tbl>
    <w:p>
      <w:pPr>
        <w:jc w:val="lef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注：表中功能分类科目，根据各部门实际预算编制情况编列。</w:t>
      </w:r>
    </w:p>
    <w:p>
      <w:pPr>
        <w:jc w:val="lef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报表金额单位转换时可能存在四舍五入尾数误差。</w:t>
      </w:r>
    </w:p>
    <w:p>
      <w:pPr>
        <w:jc w:val="left"/>
        <w:rPr>
          <w:rFonts w:ascii="宋体" w:eastAsia="宋体" w:hAnsi="宋体" w:asciiTheme="minorEastAsia" w:eastAsiaTheme="minorEastAsia" w:hAnsiTheme="minorEastAsia" w:cs="Arial" w:cstheme="minorEastAsia" w:hint="eastAsia"/>
          <w:sz w:val="18"/>
          <w:szCs w:val="18"/>
          <w:lang w:eastAsia="zh-CN"/>
        </w:rPr>
      </w:pPr>
      <w:r>
        <w:br w:type="page"/>
      </w:r>
    </w:p>
    <w:p>
      <w:pPr>
        <w:jc w:val="center"/>
        <w:rPr>
          <w:rFonts w:ascii="宋体" w:eastAsia="宋体" w:hAnsi="宋体" w:asciiTheme="minorEastAsia" w:eastAsiaTheme="minorEastAsia" w:hAnsiTheme="minorEastAsia" w:cs="Arial" w:cstheme="minorEastAsia" w:hint="eastAsia"/>
          <w:sz w:val="32"/>
          <w:szCs w:val="32"/>
          <w:lang w:eastAsia="zh-CN"/>
        </w:rPr>
      </w:pPr>
      <w:r>
        <w:rPr>
          <w:rFonts w:ascii="宋体" w:eastAsia="宋体" w:hAnsi="宋体" w:asciiTheme="minorEastAsia" w:eastAsiaTheme="minorEastAsia" w:hAnsiTheme="minorEastAsia" w:cs="Arial" w:cstheme="minorEastAsia" w:hint="eastAsia"/>
          <w:sz w:val="32"/>
          <w:szCs w:val="32"/>
          <w:lang w:eastAsia="zh-CN"/>
        </w:rPr>
        <w:t xml:space="preserve">一般公共预算支出情况表</w:t>
      </w:r>
    </w:p>
    <w:p>
      <w:pPr>
        <w:pStyle w:val="Heading#2|1"/>
        <w:keepNext/>
        <w:keepLines/>
        <w:pageBreakBefore w:val="0"/>
        <w:widowControl w:val="0"/>
        <w:tabs>
          <w:tab w:val="center" w:pos="7730"/>
          <w:tab w:val="left" w:pos="13278"/>
        </w:tabs>
        <w:kinsoku/>
        <w:wordWrap/>
        <w:overflowPunct/>
        <w:topLinePunct w:val="0"/>
        <w:autoSpaceDE/>
        <w:autoSpaceDN/>
        <w:bidi w:val="0"/>
        <w:adjustRightInd/>
        <w:snapToGrid/>
        <w:spacing w:after="0" w:line="180" w:lineRule="atLeast"/>
        <w:ind w:firstLine="25600" w:firstLineChars="8000"/>
        <w:jc w:val="right"/>
        <w:textAlignment w:val="auto"/>
        <w:rPr>
          <w:rFonts w:ascii="宋体" w:eastAsia="宋体" w:hAnsi="宋体" w:asciiTheme="minorEastAsia" w:eastAsiaTheme="minorEastAsia" w:hAnsiTheme="minorEastAsia" w:cs="Arial" w:cstheme="minorEastAsia" w:hint="eastAsia"/>
          <w:sz w:val="32"/>
          <w:szCs w:val="32"/>
          <w:lang w:val="en-US" w:eastAsia="zh-CN"/>
        </w:rPr>
      </w:pPr>
      <w:r>
        <w:rPr>
          <w:rFonts w:ascii="宋体" w:eastAsia="宋体" w:hAnsi="宋体" w:asciiTheme="minorEastAsia" w:eastAsiaTheme="minorEastAsia" w:hAnsiTheme="minorEastAsia" w:cs="Arial" w:cstheme="minorEastAsia" w:hint="eastAsia"/>
          <w:sz w:val="32"/>
          <w:szCs w:val="32"/>
          <w:lang w:eastAsia="zh-CN"/>
        </w:rPr>
        <w:tab/>
      </w:r>
    </w:p>
    <w:tbl>
      <w:tblPr>
        <w:tblStyle w:val="TableGrid"/>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firstRow="0" w:lastRow="0" w:firstColumn="0" w:lastColumn="0" w:noHBand="1" w:noVBand="1"/>
      </w:tblPr>
      <w:tblGrid>
        <w:gridCol w:w="1836"/>
        <w:gridCol w:w="1529"/>
        <w:gridCol w:w="1489"/>
        <w:gridCol w:w="1704"/>
        <w:gridCol w:w="1896"/>
        <w:gridCol w:w="1876"/>
        <w:gridCol w:w="1744"/>
        <w:gridCol w:w="72"/>
        <w:gridCol w:w="1664"/>
        <w:gridCol w:w="1747"/>
      </w:tblGrid>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Height w:val="426"/>
        </w:trPr>
        <w:tc>
          <w:tcPr>
            <w:tcW w:w="12112" w:type="dxa"/>
            <w:gridSpan w:val="7"/>
            <w:tcBorders>
              <w:top w:val="nil"/>
              <w:left w:val="nil"/>
              <w:right w:val="nil"/>
            </w:tcBorders>
          </w:tcPr>
          <w:p>
            <w:pPr>
              <w:jc w:val="left"/>
              <w:rPr>
                <w:rFonts w:ascii="宋体" w:eastAsia="宋体" w:hAnsi="宋体" w:asciiTheme="minorEastAsia" w:eastAsiaTheme="minorEastAsia" w:hAnsiTheme="minorEastAsia" w:cs="Arial" w:cstheme="minorEastAsia" w:hint="eastAsia"/>
                <w:sz w:val="18"/>
                <w:szCs w:val="18"/>
              </w:rPr>
            </w:pPr>
          </w:p>
          <w:p>
            <w:pPr>
              <w:jc w:val="left"/>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单位名称：</w:t>
            </w:r>
            <w:r>
              <w:rPr>
                <w:rFonts w:ascii="宋体" w:eastAsia="宋体" w:hAnsi="宋体" w:asciiTheme="minorEastAsia" w:eastAsiaTheme="minorEastAsia" w:hAnsiTheme="minorEastAsia" w:cs="Arial" w:cstheme="minorEastAsia" w:hint="eastAsia"/>
                <w:sz w:val="18"/>
                <w:szCs w:val="18"/>
                <w:lang w:eastAsia="zh-CN"/>
              </w:rPr>
              <w:t xml:space="preserve">河池市纤维检验所</w:t>
            </w:r>
          </w:p>
        </w:tc>
        <w:tc>
          <w:tcPr>
            <w:tcW w:w="3537" w:type="dxa"/>
            <w:gridSpan w:val="3"/>
            <w:tcBorders>
              <w:top w:val="nil"/>
              <w:left w:val="nil"/>
              <w:right w:val="nil"/>
            </w:tcBorders>
          </w:tcPr>
          <w:p>
            <w:pPr>
              <w:ind w:firstLine="1980" w:firstLineChars="1100"/>
              <w:jc w:val="righ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lang w:val="en-US" w:eastAsia="zh-CN"/>
              </w:rPr>
              <w:t xml:space="preserve">表05</w:t>
            </w:r>
          </w:p>
          <w:p>
            <w:pPr>
              <w:ind w:firstLine="1980" w:firstLineChars="1100"/>
              <w:jc w:val="right"/>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单位：万元</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1705" w:type="dxa"/>
            <w:vMerge w:val="restart"/>
          </w:tcPr>
          <w:p>
            <w:pPr>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科目编码</w:t>
            </w:r>
          </w:p>
        </w:tc>
        <w:tc>
          <w:tcPr>
            <w:tcW w:w="1636" w:type="dxa"/>
            <w:vMerge w:val="restart"/>
          </w:tcPr>
          <w:p>
            <w:pPr>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部门（单位）代码</w:t>
            </w:r>
          </w:p>
        </w:tc>
        <w:tc>
          <w:tcPr>
            <w:tcW w:w="1615" w:type="dxa"/>
            <w:vMerge w:val="restart"/>
          </w:tcPr>
          <w:p>
            <w:pPr>
              <w:pStyle w:val="Other|1"/>
              <w:spacing w:after="120" w:line="240" w:lineRule="auto"/>
              <w:ind w:firstLine="0"/>
              <w:jc w:val="center"/>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部门（单位）名称</w:t>
            </w:r>
          </w:p>
          <w:p>
            <w:pPr>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（功能分类科目名称）</w:t>
            </w:r>
          </w:p>
        </w:tc>
        <w:tc>
          <w:tcPr>
            <w:tcW w:w="1713" w:type="dxa"/>
            <w:vMerge w:val="restart"/>
          </w:tcPr>
          <w:p>
            <w:pPr>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合计</w:t>
            </w:r>
          </w:p>
        </w:tc>
        <w:tc>
          <w:tcPr>
            <w:tcW w:w="5515" w:type="dxa"/>
            <w:gridSpan w:val="4"/>
          </w:tcPr>
          <w:p>
            <w:pPr>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基本支出</w:t>
            </w:r>
          </w:p>
        </w:tc>
        <w:tc>
          <w:tcPr>
            <w:tcW w:w="1686" w:type="dxa"/>
            <w:vMerge w:val="restart"/>
          </w:tcPr>
          <w:p>
            <w:pPr>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项目支出</w:t>
            </w:r>
          </w:p>
        </w:tc>
        <w:tc>
          <w:tcPr>
            <w:tcW w:w="1779" w:type="dxa"/>
            <w:vMerge w:val="restart"/>
          </w:tcPr>
          <w:p>
            <w:pPr>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结转下年支出</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1705" w:type="dxa"/>
            <w:vMerge/>
          </w:tcPr>
          <w:p>
            <w:pPr>
              <w:jc w:val="center"/>
              <w:rPr>
                <w:rFonts w:ascii="宋体" w:eastAsia="宋体" w:hAnsi="宋体" w:asciiTheme="minorEastAsia" w:eastAsiaTheme="minorEastAsia" w:hAnsiTheme="minorEastAsia" w:cs="Arial" w:cstheme="minorEastAsia" w:hint="eastAsia"/>
                <w:sz w:val="18"/>
                <w:szCs w:val="18"/>
                <w:vertAlign w:val="baseline"/>
                <w:lang w:eastAsia="zh-CN"/>
              </w:rPr>
            </w:pPr>
          </w:p>
        </w:tc>
        <w:tc>
          <w:tcPr>
            <w:tcW w:w="1636" w:type="dxa"/>
            <w:vMerge/>
          </w:tcPr>
          <w:p>
            <w:pPr>
              <w:jc w:val="center"/>
              <w:rPr>
                <w:rFonts w:ascii="宋体" w:eastAsia="宋体" w:hAnsi="宋体" w:asciiTheme="minorEastAsia" w:eastAsiaTheme="minorEastAsia" w:hAnsiTheme="minorEastAsia" w:cs="Arial" w:cstheme="minorEastAsia" w:hint="eastAsia"/>
                <w:sz w:val="18"/>
                <w:szCs w:val="18"/>
                <w:vertAlign w:val="baseline"/>
                <w:lang w:eastAsia="zh-CN"/>
              </w:rPr>
            </w:pPr>
          </w:p>
        </w:tc>
        <w:tc>
          <w:tcPr>
            <w:tcW w:w="1615" w:type="dxa"/>
            <w:vMerge/>
          </w:tcPr>
          <w:p>
            <w:pPr>
              <w:jc w:val="center"/>
              <w:rPr>
                <w:rFonts w:ascii="宋体" w:eastAsia="宋体" w:hAnsi="宋体" w:asciiTheme="minorEastAsia" w:eastAsiaTheme="minorEastAsia" w:hAnsiTheme="minorEastAsia" w:cs="Arial" w:cstheme="minorEastAsia" w:hint="eastAsia"/>
                <w:sz w:val="18"/>
                <w:szCs w:val="18"/>
                <w:vertAlign w:val="baseline"/>
                <w:lang w:eastAsia="zh-CN"/>
              </w:rPr>
            </w:pPr>
          </w:p>
        </w:tc>
        <w:tc>
          <w:tcPr>
            <w:tcW w:w="1713" w:type="dxa"/>
            <w:vMerge/>
          </w:tcPr>
          <w:p>
            <w:pPr>
              <w:jc w:val="center"/>
              <w:rPr>
                <w:rFonts w:ascii="宋体" w:eastAsia="宋体" w:hAnsi="宋体" w:asciiTheme="minorEastAsia" w:eastAsiaTheme="minorEastAsia" w:hAnsiTheme="minorEastAsia" w:cs="Arial" w:cstheme="minorEastAsia" w:hint="eastAsia"/>
                <w:sz w:val="18"/>
                <w:szCs w:val="18"/>
                <w:vertAlign w:val="baseline"/>
                <w:lang w:eastAsia="zh-CN"/>
              </w:rPr>
            </w:pPr>
          </w:p>
        </w:tc>
        <w:tc>
          <w:tcPr>
            <w:tcW w:w="1879"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小计</w:t>
            </w:r>
          </w:p>
        </w:tc>
        <w:tc>
          <w:tcPr>
            <w:tcW w:w="1846"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人员经费</w:t>
            </w:r>
          </w:p>
        </w:tc>
        <w:tc>
          <w:tcPr>
            <w:tcW w:w="1790" w:type="dxa"/>
            <w:gridSpan w:val="2"/>
            <w:vAlign w:val="center"/>
          </w:tcPr>
          <w:p>
            <w:pPr>
              <w:pStyle w:val="Other|1"/>
              <w:spacing w:line="240" w:lineRule="auto"/>
              <w:ind w:firstLine="440" w:firstLineChars="0"/>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公用经费</w:t>
            </w:r>
          </w:p>
        </w:tc>
        <w:tc>
          <w:tcPr>
            <w:tcW w:w="1686" w:type="dxa"/>
            <w:vMerge/>
          </w:tcPr>
          <w:p>
            <w:pPr>
              <w:jc w:val="center"/>
              <w:rPr>
                <w:rFonts w:ascii="宋体" w:eastAsia="宋体" w:hAnsi="宋体" w:asciiTheme="minorEastAsia" w:eastAsiaTheme="minorEastAsia" w:hAnsiTheme="minorEastAsia" w:cs="Arial" w:cstheme="minorEastAsia" w:hint="eastAsia"/>
                <w:sz w:val="18"/>
                <w:szCs w:val="18"/>
                <w:vertAlign w:val="baseline"/>
                <w:lang w:eastAsia="zh-CN"/>
              </w:rPr>
            </w:pPr>
          </w:p>
        </w:tc>
        <w:tc>
          <w:tcPr>
            <w:tcW w:w="1779" w:type="dxa"/>
            <w:vMerge/>
          </w:tcPr>
          <w:p>
            <w:pPr>
              <w:jc w:val="center"/>
              <w:rPr>
                <w:rFonts w:ascii="宋体" w:eastAsia="宋体" w:hAnsi="宋体" w:asciiTheme="minorEastAsia" w:eastAsiaTheme="minorEastAsia" w:hAnsiTheme="minorEastAsia" w:cs="Arial" w:cstheme="minorEastAsia" w:hint="eastAsia"/>
                <w:sz w:val="18"/>
                <w:szCs w:val="18"/>
                <w:vertAlign w:val="baseline"/>
                <w:lang w:eastAsia="zh-CN"/>
              </w:rPr>
            </w:pP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1705" w:type="dxa"/>
            <w:vAlign w:val="center"/>
          </w:tcPr>
          <w:p>
            <w:pPr>
              <w:jc w:val="center"/>
              <w:rPr>
                <w:rFonts w:ascii="宋体" w:eastAsia="宋体" w:hAnsi="宋体" w:asciiTheme="minorEastAsia" w:eastAsiaTheme="minorEastAsia" w:hAnsiTheme="minorEastAsia" w:cs="Arial" w:cstheme="minorEastAsia" w:hint="eastAsia"/>
                <w:sz w:val="18"/>
                <w:szCs w:val="18"/>
                <w:vertAlign w:val="baseline"/>
                <w:lang w:eastAsia="zh-CN"/>
              </w:rPr>
            </w:pPr>
          </w:p>
        </w:tc>
        <w:tc>
          <w:tcPr>
            <w:tcW w:w="1636" w:type="dxa"/>
            <w:vAlign w:val="center"/>
          </w:tcPr>
          <w:p>
            <w:pPr>
              <w:jc w:val="center"/>
              <w:rPr>
                <w:rFonts w:ascii="宋体" w:eastAsia="宋体" w:hAnsi="宋体" w:asciiTheme="minorEastAsia" w:eastAsiaTheme="minorEastAsia" w:hAnsiTheme="minorEastAsia" w:cs="Arial" w:cstheme="minorEastAsia" w:hint="eastAsia"/>
                <w:sz w:val="18"/>
                <w:szCs w:val="18"/>
                <w:vertAlign w:val="baseline"/>
                <w:lang w:eastAsia="zh-CN"/>
              </w:rPr>
            </w:pPr>
          </w:p>
        </w:tc>
        <w:tc>
          <w:tcPr>
            <w:tcW w:w="1615" w:type="dxa"/>
            <w:vAlign w:val="center"/>
          </w:tcPr>
          <w:p>
            <w:pPr>
              <w:jc w:val="center"/>
              <w:rPr>
                <w:rFonts w:ascii="宋体" w:eastAsia="宋体" w:hAnsi="宋体" w:asciiTheme="minorEastAsia" w:eastAsiaTheme="minorEastAsia" w:hAnsiTheme="minorEastAsia" w:cs="Arial" w:cstheme="minorEastAsia" w:hint="eastAsia"/>
                <w:sz w:val="18"/>
                <w:szCs w:val="18"/>
                <w:vertAlign w:val="baseline"/>
                <w:lang w:eastAsia="zh-CN"/>
              </w:rPr>
            </w:pPr>
          </w:p>
        </w:tc>
        <w:tc>
          <w:tcPr>
            <w:tcW w:w="1713"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b/>
                <w:bCs/>
                <w:sz w:val="18"/>
                <w:szCs w:val="18"/>
              </w:rPr>
              <w:t xml:space="preserve">1</w:t>
            </w:r>
          </w:p>
        </w:tc>
        <w:tc>
          <w:tcPr>
            <w:tcW w:w="1879"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b/>
                <w:bCs/>
                <w:sz w:val="18"/>
                <w:szCs w:val="18"/>
              </w:rPr>
              <w:t xml:space="preserve">2</w:t>
            </w:r>
          </w:p>
        </w:tc>
        <w:tc>
          <w:tcPr>
            <w:tcW w:w="1846"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b/>
                <w:bCs/>
                <w:sz w:val="18"/>
                <w:szCs w:val="18"/>
              </w:rPr>
              <w:t xml:space="preserve">3</w:t>
            </w:r>
          </w:p>
        </w:tc>
        <w:tc>
          <w:tcPr>
            <w:tcW w:w="1790" w:type="dxa"/>
            <w:gridSpan w:val="2"/>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b/>
                <w:bCs/>
                <w:sz w:val="18"/>
                <w:szCs w:val="18"/>
              </w:rPr>
              <w:t xml:space="preserve">4</w:t>
            </w:r>
          </w:p>
        </w:tc>
        <w:tc>
          <w:tcPr>
            <w:tcW w:w="1686" w:type="dxa"/>
            <w:vAlign w:val="center"/>
          </w:tcPr>
          <w:p>
            <w:pPr>
              <w:pStyle w:val="Other|1"/>
              <w:spacing w:line="240" w:lineRule="auto"/>
              <w:ind w:firstLine="660" w:firstLineChars="0"/>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b/>
                <w:bCs/>
                <w:sz w:val="18"/>
                <w:szCs w:val="18"/>
              </w:rPr>
              <w:t xml:space="preserve">5</w:t>
            </w:r>
          </w:p>
        </w:tc>
        <w:tc>
          <w:tcPr>
            <w:tcW w:w="1779" w:type="dxa"/>
            <w:vAlign w:val="center"/>
          </w:tcPr>
          <w:p>
            <w:pPr>
              <w:pStyle w:val="Other|1"/>
              <w:spacing w:line="240" w:lineRule="auto"/>
              <w:ind w:right="700" w:firstLine="0" w:rightChars="0" w:firstLineChars="0"/>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b/>
                <w:bCs/>
                <w:sz w:val="18"/>
                <w:szCs w:val="18"/>
              </w:rPr>
              <w:t xml:space="preserve">6</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1705"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p>
        </w:tc>
        <w:tc>
          <w:tcPr>
            <w:tcW w:w="1636"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127005</w:t>
            </w:r>
          </w:p>
        </w:tc>
        <w:tc>
          <w:tcPr>
            <w:tcW w:w="1615"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p>
        </w:tc>
        <w:tc>
          <w:tcPr>
            <w:tcW w:w="1713" w:type="dxa"/>
            <w:vAlign w:val="center"/>
          </w:tcPr>
          <w:p>
            <w:pPr>
              <w:pStyle w:val="Other|1"/>
              <w:spacing w:line="240" w:lineRule="auto"/>
              <w:ind w:left="106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113.11</w:t>
            </w:r>
          </w:p>
        </w:tc>
        <w:tc>
          <w:tcPr>
            <w:tcW w:w="1879" w:type="dxa"/>
            <w:vAlign w:val="center"/>
          </w:tcPr>
          <w:p>
            <w:pPr>
              <w:pStyle w:val="Other|1"/>
              <w:spacing w:line="240" w:lineRule="auto"/>
              <w:ind w:left="132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103.11</w:t>
            </w:r>
          </w:p>
        </w:tc>
        <w:tc>
          <w:tcPr>
            <w:tcW w:w="1846" w:type="dxa"/>
            <w:vAlign w:val="center"/>
          </w:tcPr>
          <w:p>
            <w:pPr>
              <w:pStyle w:val="Other|1"/>
              <w:spacing w:line="240" w:lineRule="auto"/>
              <w:ind w:left="112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101.30</w:t>
            </w:r>
          </w:p>
        </w:tc>
        <w:tc>
          <w:tcPr>
            <w:tcW w:w="1790" w:type="dxa"/>
            <w:gridSpan w:val="2"/>
            <w:vAlign w:val="center"/>
          </w:tcPr>
          <w:p>
            <w:pPr>
              <w:pStyle w:val="Other|1"/>
              <w:spacing w:line="240" w:lineRule="auto"/>
              <w:ind w:left="106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1.81</w:t>
            </w:r>
          </w:p>
        </w:tc>
        <w:tc>
          <w:tcPr>
            <w:tcW w:w="1686" w:type="dxa"/>
            <w:vAlign w:val="center"/>
          </w:tcPr>
          <w:p>
            <w:pPr>
              <w:pStyle w:val="Other|1"/>
              <w:spacing w:line="240" w:lineRule="auto"/>
              <w:ind w:firstLine="40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10.00</w:t>
            </w:r>
          </w:p>
        </w:tc>
        <w:tc>
          <w:tcPr>
            <w:tcW w:w="1779" w:type="dxa"/>
            <w:vAlign w:val="center"/>
          </w:tcPr>
          <w:p>
            <w:pPr>
              <w:pStyle w:val="Other|1"/>
              <w:spacing w:line="240" w:lineRule="auto"/>
              <w:ind w:firstLine="40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1705"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2013850</w:t>
            </w:r>
          </w:p>
        </w:tc>
        <w:tc>
          <w:tcPr>
            <w:tcW w:w="1636"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p>
        </w:tc>
        <w:tc>
          <w:tcPr>
            <w:tcW w:w="1615"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事业运行</w:t>
            </w:r>
          </w:p>
        </w:tc>
        <w:tc>
          <w:tcPr>
            <w:tcW w:w="1713" w:type="dxa"/>
            <w:vAlign w:val="center"/>
          </w:tcPr>
          <w:p>
            <w:pPr>
              <w:pStyle w:val="Other|1"/>
              <w:spacing w:line="240" w:lineRule="auto"/>
              <w:ind w:left="106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72.25</w:t>
            </w:r>
          </w:p>
        </w:tc>
        <w:tc>
          <w:tcPr>
            <w:tcW w:w="1879" w:type="dxa"/>
            <w:vAlign w:val="center"/>
          </w:tcPr>
          <w:p>
            <w:pPr>
              <w:pStyle w:val="Other|1"/>
              <w:spacing w:line="240" w:lineRule="auto"/>
              <w:ind w:left="132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62.24</w:t>
            </w:r>
          </w:p>
        </w:tc>
        <w:tc>
          <w:tcPr>
            <w:tcW w:w="1846" w:type="dxa"/>
            <w:vAlign w:val="center"/>
          </w:tcPr>
          <w:p>
            <w:pPr>
              <w:pStyle w:val="Other|1"/>
              <w:spacing w:line="240" w:lineRule="auto"/>
              <w:ind w:left="112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60.43</w:t>
            </w:r>
          </w:p>
        </w:tc>
        <w:tc>
          <w:tcPr>
            <w:tcW w:w="1790" w:type="dxa"/>
            <w:gridSpan w:val="2"/>
            <w:vAlign w:val="center"/>
          </w:tcPr>
          <w:p>
            <w:pPr>
              <w:pStyle w:val="Other|1"/>
              <w:spacing w:line="240" w:lineRule="auto"/>
              <w:ind w:left="106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1.81</w:t>
            </w:r>
          </w:p>
        </w:tc>
        <w:tc>
          <w:tcPr>
            <w:tcW w:w="1686" w:type="dxa"/>
            <w:vAlign w:val="center"/>
          </w:tcPr>
          <w:p>
            <w:pPr>
              <w:pStyle w:val="Other|1"/>
              <w:spacing w:line="240" w:lineRule="auto"/>
              <w:ind w:firstLine="40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10.00</w:t>
            </w:r>
          </w:p>
        </w:tc>
        <w:tc>
          <w:tcPr>
            <w:tcW w:w="1779" w:type="dxa"/>
            <w:vAlign w:val="center"/>
          </w:tcPr>
          <w:p>
            <w:pPr>
              <w:pStyle w:val="Other|1"/>
              <w:spacing w:line="240" w:lineRule="auto"/>
              <w:ind w:firstLine="40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1705"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2080505</w:t>
            </w:r>
          </w:p>
        </w:tc>
        <w:tc>
          <w:tcPr>
            <w:tcW w:w="1636"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p>
        </w:tc>
        <w:tc>
          <w:tcPr>
            <w:tcW w:w="1615"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机关事业单位基本养老保险缴费支出</w:t>
            </w:r>
          </w:p>
        </w:tc>
        <w:tc>
          <w:tcPr>
            <w:tcW w:w="1713" w:type="dxa"/>
            <w:vAlign w:val="center"/>
          </w:tcPr>
          <w:p>
            <w:pPr>
              <w:pStyle w:val="Other|1"/>
              <w:spacing w:line="240" w:lineRule="auto"/>
              <w:ind w:left="106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13.79</w:t>
            </w:r>
          </w:p>
        </w:tc>
        <w:tc>
          <w:tcPr>
            <w:tcW w:w="1879" w:type="dxa"/>
            <w:vAlign w:val="center"/>
          </w:tcPr>
          <w:p>
            <w:pPr>
              <w:pStyle w:val="Other|1"/>
              <w:spacing w:line="240" w:lineRule="auto"/>
              <w:ind w:left="132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13.79</w:t>
            </w:r>
          </w:p>
        </w:tc>
        <w:tc>
          <w:tcPr>
            <w:tcW w:w="1846" w:type="dxa"/>
            <w:vAlign w:val="center"/>
          </w:tcPr>
          <w:p>
            <w:pPr>
              <w:pStyle w:val="Other|1"/>
              <w:spacing w:line="240" w:lineRule="auto"/>
              <w:ind w:left="112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13.79</w:t>
            </w:r>
          </w:p>
        </w:tc>
        <w:tc>
          <w:tcPr>
            <w:tcW w:w="1790" w:type="dxa"/>
            <w:gridSpan w:val="2"/>
            <w:vAlign w:val="center"/>
          </w:tcPr>
          <w:p>
            <w:pPr>
              <w:pStyle w:val="Other|1"/>
              <w:spacing w:line="240" w:lineRule="auto"/>
              <w:ind w:left="106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1686" w:type="dxa"/>
            <w:vAlign w:val="center"/>
          </w:tcPr>
          <w:p>
            <w:pPr>
              <w:pStyle w:val="Other|1"/>
              <w:spacing w:line="240" w:lineRule="auto"/>
              <w:ind w:firstLine="40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c>
          <w:tcPr>
            <w:tcW w:w="1779" w:type="dxa"/>
            <w:vAlign w:val="center"/>
          </w:tcPr>
          <w:p>
            <w:pPr>
              <w:pStyle w:val="Other|1"/>
              <w:spacing w:line="240" w:lineRule="auto"/>
              <w:ind w:firstLine="40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1705"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2080506</w:t>
            </w:r>
          </w:p>
        </w:tc>
        <w:tc>
          <w:tcPr>
            <w:tcW w:w="1636"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p>
        </w:tc>
        <w:tc>
          <w:tcPr>
            <w:tcW w:w="1615"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机关事业单位职业年金缴费支出</w:t>
            </w:r>
          </w:p>
        </w:tc>
        <w:tc>
          <w:tcPr>
            <w:tcW w:w="1713" w:type="dxa"/>
            <w:vAlign w:val="center"/>
          </w:tcPr>
          <w:p>
            <w:pPr>
              <w:pStyle w:val="Other|1"/>
              <w:spacing w:line="240" w:lineRule="auto"/>
              <w:ind w:left="106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6.90</w:t>
            </w:r>
          </w:p>
        </w:tc>
        <w:tc>
          <w:tcPr>
            <w:tcW w:w="1879" w:type="dxa"/>
            <w:vAlign w:val="center"/>
          </w:tcPr>
          <w:p>
            <w:pPr>
              <w:pStyle w:val="Other|1"/>
              <w:spacing w:line="240" w:lineRule="auto"/>
              <w:ind w:left="132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6.90</w:t>
            </w:r>
          </w:p>
        </w:tc>
        <w:tc>
          <w:tcPr>
            <w:tcW w:w="1846" w:type="dxa"/>
            <w:vAlign w:val="center"/>
          </w:tcPr>
          <w:p>
            <w:pPr>
              <w:pStyle w:val="Other|1"/>
              <w:spacing w:line="240" w:lineRule="auto"/>
              <w:ind w:left="112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6.90</w:t>
            </w:r>
          </w:p>
        </w:tc>
        <w:tc>
          <w:tcPr>
            <w:tcW w:w="1790" w:type="dxa"/>
            <w:gridSpan w:val="2"/>
            <w:vAlign w:val="center"/>
          </w:tcPr>
          <w:p>
            <w:pPr>
              <w:pStyle w:val="Other|1"/>
              <w:spacing w:line="240" w:lineRule="auto"/>
              <w:ind w:left="106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1686" w:type="dxa"/>
            <w:vAlign w:val="center"/>
          </w:tcPr>
          <w:p>
            <w:pPr>
              <w:pStyle w:val="Other|1"/>
              <w:spacing w:line="240" w:lineRule="auto"/>
              <w:ind w:firstLine="40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c>
          <w:tcPr>
            <w:tcW w:w="1779" w:type="dxa"/>
            <w:vAlign w:val="center"/>
          </w:tcPr>
          <w:p>
            <w:pPr>
              <w:pStyle w:val="Other|1"/>
              <w:spacing w:line="240" w:lineRule="auto"/>
              <w:ind w:firstLine="40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1705"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2089999</w:t>
            </w:r>
          </w:p>
        </w:tc>
        <w:tc>
          <w:tcPr>
            <w:tcW w:w="1636"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p>
        </w:tc>
        <w:tc>
          <w:tcPr>
            <w:tcW w:w="1615"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其他社会保障和就业支出</w:t>
            </w:r>
          </w:p>
        </w:tc>
        <w:tc>
          <w:tcPr>
            <w:tcW w:w="1713" w:type="dxa"/>
            <w:vAlign w:val="center"/>
          </w:tcPr>
          <w:p>
            <w:pPr>
              <w:pStyle w:val="Other|1"/>
              <w:spacing w:line="240" w:lineRule="auto"/>
              <w:ind w:left="106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0.43</w:t>
            </w:r>
          </w:p>
        </w:tc>
        <w:tc>
          <w:tcPr>
            <w:tcW w:w="1879" w:type="dxa"/>
            <w:vAlign w:val="center"/>
          </w:tcPr>
          <w:p>
            <w:pPr>
              <w:pStyle w:val="Other|1"/>
              <w:spacing w:line="240" w:lineRule="auto"/>
              <w:ind w:left="132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0.43</w:t>
            </w:r>
          </w:p>
        </w:tc>
        <w:tc>
          <w:tcPr>
            <w:tcW w:w="1846" w:type="dxa"/>
            <w:vAlign w:val="center"/>
          </w:tcPr>
          <w:p>
            <w:pPr>
              <w:pStyle w:val="Other|1"/>
              <w:spacing w:line="240" w:lineRule="auto"/>
              <w:ind w:left="112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0.43</w:t>
            </w:r>
          </w:p>
        </w:tc>
        <w:tc>
          <w:tcPr>
            <w:tcW w:w="1790" w:type="dxa"/>
            <w:gridSpan w:val="2"/>
            <w:vAlign w:val="center"/>
          </w:tcPr>
          <w:p>
            <w:pPr>
              <w:pStyle w:val="Other|1"/>
              <w:spacing w:line="240" w:lineRule="auto"/>
              <w:ind w:left="106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1686" w:type="dxa"/>
            <w:vAlign w:val="center"/>
          </w:tcPr>
          <w:p>
            <w:pPr>
              <w:pStyle w:val="Other|1"/>
              <w:spacing w:line="240" w:lineRule="auto"/>
              <w:ind w:firstLine="40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c>
          <w:tcPr>
            <w:tcW w:w="1779" w:type="dxa"/>
            <w:vAlign w:val="center"/>
          </w:tcPr>
          <w:p>
            <w:pPr>
              <w:pStyle w:val="Other|1"/>
              <w:spacing w:line="240" w:lineRule="auto"/>
              <w:ind w:firstLine="40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1705"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2101102</w:t>
            </w:r>
          </w:p>
        </w:tc>
        <w:tc>
          <w:tcPr>
            <w:tcW w:w="1636"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p>
        </w:tc>
        <w:tc>
          <w:tcPr>
            <w:tcW w:w="1615"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事业单位医疗</w:t>
            </w:r>
          </w:p>
        </w:tc>
        <w:tc>
          <w:tcPr>
            <w:tcW w:w="1713" w:type="dxa"/>
            <w:vAlign w:val="center"/>
          </w:tcPr>
          <w:p>
            <w:pPr>
              <w:pStyle w:val="Other|1"/>
              <w:spacing w:line="240" w:lineRule="auto"/>
              <w:ind w:left="106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5.96</w:t>
            </w:r>
          </w:p>
        </w:tc>
        <w:tc>
          <w:tcPr>
            <w:tcW w:w="1879" w:type="dxa"/>
            <w:vAlign w:val="center"/>
          </w:tcPr>
          <w:p>
            <w:pPr>
              <w:pStyle w:val="Other|1"/>
              <w:spacing w:line="240" w:lineRule="auto"/>
              <w:ind w:left="132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5.96</w:t>
            </w:r>
          </w:p>
        </w:tc>
        <w:tc>
          <w:tcPr>
            <w:tcW w:w="1846" w:type="dxa"/>
            <w:vAlign w:val="center"/>
          </w:tcPr>
          <w:p>
            <w:pPr>
              <w:pStyle w:val="Other|1"/>
              <w:spacing w:line="240" w:lineRule="auto"/>
              <w:ind w:left="112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5.96</w:t>
            </w:r>
          </w:p>
        </w:tc>
        <w:tc>
          <w:tcPr>
            <w:tcW w:w="1790" w:type="dxa"/>
            <w:gridSpan w:val="2"/>
            <w:vAlign w:val="center"/>
          </w:tcPr>
          <w:p>
            <w:pPr>
              <w:pStyle w:val="Other|1"/>
              <w:spacing w:line="240" w:lineRule="auto"/>
              <w:ind w:left="106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1686" w:type="dxa"/>
            <w:vAlign w:val="center"/>
          </w:tcPr>
          <w:p>
            <w:pPr>
              <w:pStyle w:val="Other|1"/>
              <w:spacing w:line="240" w:lineRule="auto"/>
              <w:ind w:firstLine="40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c>
          <w:tcPr>
            <w:tcW w:w="1779" w:type="dxa"/>
            <w:vAlign w:val="center"/>
          </w:tcPr>
          <w:p>
            <w:pPr>
              <w:pStyle w:val="Other|1"/>
              <w:spacing w:line="240" w:lineRule="auto"/>
              <w:ind w:firstLine="40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1705"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2101103</w:t>
            </w:r>
          </w:p>
        </w:tc>
        <w:tc>
          <w:tcPr>
            <w:tcW w:w="1636"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p>
        </w:tc>
        <w:tc>
          <w:tcPr>
            <w:tcW w:w="1615"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公务员医疗补助</w:t>
            </w:r>
          </w:p>
        </w:tc>
        <w:tc>
          <w:tcPr>
            <w:tcW w:w="1713" w:type="dxa"/>
            <w:vAlign w:val="center"/>
          </w:tcPr>
          <w:p>
            <w:pPr>
              <w:pStyle w:val="Other|1"/>
              <w:spacing w:line="240" w:lineRule="auto"/>
              <w:ind w:left="106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3.45</w:t>
            </w:r>
          </w:p>
        </w:tc>
        <w:tc>
          <w:tcPr>
            <w:tcW w:w="1879" w:type="dxa"/>
            <w:vAlign w:val="center"/>
          </w:tcPr>
          <w:p>
            <w:pPr>
              <w:pStyle w:val="Other|1"/>
              <w:spacing w:line="240" w:lineRule="auto"/>
              <w:ind w:left="132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3.45</w:t>
            </w:r>
          </w:p>
        </w:tc>
        <w:tc>
          <w:tcPr>
            <w:tcW w:w="1846" w:type="dxa"/>
            <w:vAlign w:val="center"/>
          </w:tcPr>
          <w:p>
            <w:pPr>
              <w:pStyle w:val="Other|1"/>
              <w:spacing w:line="240" w:lineRule="auto"/>
              <w:ind w:left="112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3.45</w:t>
            </w:r>
          </w:p>
        </w:tc>
        <w:tc>
          <w:tcPr>
            <w:tcW w:w="1790" w:type="dxa"/>
            <w:gridSpan w:val="2"/>
            <w:vAlign w:val="center"/>
          </w:tcPr>
          <w:p>
            <w:pPr>
              <w:pStyle w:val="Other|1"/>
              <w:spacing w:line="240" w:lineRule="auto"/>
              <w:ind w:left="106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1686" w:type="dxa"/>
            <w:vAlign w:val="center"/>
          </w:tcPr>
          <w:p>
            <w:pPr>
              <w:pStyle w:val="Other|1"/>
              <w:spacing w:line="240" w:lineRule="auto"/>
              <w:ind w:firstLine="40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c>
          <w:tcPr>
            <w:tcW w:w="1779" w:type="dxa"/>
            <w:vAlign w:val="center"/>
          </w:tcPr>
          <w:p>
            <w:pPr>
              <w:pStyle w:val="Other|1"/>
              <w:spacing w:line="240" w:lineRule="auto"/>
              <w:ind w:firstLine="40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1705"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2210201</w:t>
            </w:r>
          </w:p>
        </w:tc>
        <w:tc>
          <w:tcPr>
            <w:tcW w:w="1636"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p>
        </w:tc>
        <w:tc>
          <w:tcPr>
            <w:tcW w:w="1615"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住房公积金</w:t>
            </w:r>
          </w:p>
        </w:tc>
        <w:tc>
          <w:tcPr>
            <w:tcW w:w="1713" w:type="dxa"/>
            <w:vAlign w:val="center"/>
          </w:tcPr>
          <w:p>
            <w:pPr>
              <w:pStyle w:val="Other|1"/>
              <w:spacing w:line="240" w:lineRule="auto"/>
              <w:ind w:left="106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10.34</w:t>
            </w:r>
          </w:p>
        </w:tc>
        <w:tc>
          <w:tcPr>
            <w:tcW w:w="1879" w:type="dxa"/>
            <w:vAlign w:val="center"/>
          </w:tcPr>
          <w:p>
            <w:pPr>
              <w:pStyle w:val="Other|1"/>
              <w:spacing w:line="240" w:lineRule="auto"/>
              <w:ind w:left="132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10.34</w:t>
            </w:r>
          </w:p>
        </w:tc>
        <w:tc>
          <w:tcPr>
            <w:tcW w:w="1846" w:type="dxa"/>
            <w:vAlign w:val="center"/>
          </w:tcPr>
          <w:p>
            <w:pPr>
              <w:pStyle w:val="Other|1"/>
              <w:spacing w:line="240" w:lineRule="auto"/>
              <w:ind w:left="112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10.34</w:t>
            </w:r>
          </w:p>
        </w:tc>
        <w:tc>
          <w:tcPr>
            <w:tcW w:w="1790" w:type="dxa"/>
            <w:gridSpan w:val="2"/>
            <w:vAlign w:val="center"/>
          </w:tcPr>
          <w:p>
            <w:pPr>
              <w:pStyle w:val="Other|1"/>
              <w:spacing w:line="240" w:lineRule="auto"/>
              <w:ind w:left="1060" w:firstLine="0" w:leftChars="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1686" w:type="dxa"/>
            <w:vAlign w:val="center"/>
          </w:tcPr>
          <w:p>
            <w:pPr>
              <w:pStyle w:val="Other|1"/>
              <w:spacing w:line="240" w:lineRule="auto"/>
              <w:ind w:firstLine="40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c>
          <w:tcPr>
            <w:tcW w:w="1779" w:type="dxa"/>
            <w:vAlign w:val="center"/>
          </w:tcPr>
          <w:p>
            <w:pPr>
              <w:pStyle w:val="Other|1"/>
              <w:spacing w:line="240" w:lineRule="auto"/>
              <w:ind w:firstLine="400" w:firstLineChars="0"/>
              <w:jc w:val="center"/>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15649" w:type="dxa"/>
            <w:gridSpan w:val="10"/>
            <w:tcBorders>
              <w:left w:val="nil"/>
              <w:bottom w:val="nil"/>
              <w:right w:val="nil"/>
            </w:tcBorders>
          </w:tcPr>
          <w:p>
            <w:pPr>
              <w:jc w:val="left"/>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注：本报表金额单位转换时可能存在四舍五入尾数误差。</w:t>
            </w:r>
          </w:p>
        </w:tc>
      </w:tr>
    </w:tbl>
    <w:p>
      <w:pPr>
        <w:rPr>
          <w:rFonts w:ascii="宋体" w:eastAsia="宋体" w:hAnsi="宋体" w:asciiTheme="minorEastAsia" w:eastAsiaTheme="minorEastAsia" w:hAnsiTheme="minorEastAsia" w:cs="Arial" w:cstheme="minorEastAsia" w:hint="eastAsia"/>
          <w:sz w:val="32"/>
          <w:szCs w:val="32"/>
          <w:lang w:eastAsia="zh-CN"/>
        </w:rPr>
      </w:pPr>
      <w:r>
        <w:br w:type="page"/>
      </w:r>
    </w:p>
    <w:p>
      <w:pPr>
        <w:pStyle w:val="Heading#2|1"/>
        <w:keepNext/>
        <w:keepLines/>
        <w:tabs>
          <w:tab w:val="center" w:pos="7730"/>
          <w:tab w:val="left" w:pos="14636"/>
        </w:tabs>
        <w:spacing w:after="240"/>
        <w:jc w:val="center"/>
        <w:rPr>
          <w:rFonts w:ascii="宋体" w:eastAsia="宋体" w:hAnsi="宋体" w:asciiTheme="minorEastAsia" w:eastAsiaTheme="minorEastAsia" w:hAnsiTheme="minorEastAsia" w:cs="Arial" w:cstheme="minorEastAsia" w:hint="eastAsia"/>
          <w:sz w:val="32"/>
          <w:szCs w:val="32"/>
          <w:lang w:eastAsia="zh-CN"/>
        </w:rPr>
      </w:pPr>
      <w:bookmarkStart w:id="22" w:name="bookmark58"/>
      <w:bookmarkStart w:id="23" w:name="bookmark56"/>
      <w:bookmarkStart w:id="24" w:name="bookmark57"/>
      <w:r>
        <w:rPr>
          <w:rFonts w:ascii="宋体" w:eastAsia="宋体" w:hAnsi="宋体" w:asciiTheme="minorEastAsia" w:eastAsiaTheme="minorEastAsia" w:hAnsiTheme="minorEastAsia" w:cs="Arial" w:cstheme="minorEastAsia" w:hint="eastAsia"/>
          <w:sz w:val="32"/>
          <w:szCs w:val="32"/>
        </w:rPr>
        <w:t xml:space="preserve">一般公共预算基本支出情况表</w:t>
      </w:r>
      <w:bookmarkEnd w:id="22"/>
      <w:bookmarkEnd w:id="23"/>
      <w:bookmarkEnd w:id="24"/>
    </w:p>
    <w:tbl>
      <w:tblPr>
        <w:tblStyle w:val="TableGrid"/>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firstRow="0" w:lastRow="0" w:firstColumn="0" w:lastColumn="0" w:noHBand="1" w:noVBand="1"/>
      </w:tblPr>
      <w:tblGrid>
        <w:gridCol w:w="3110"/>
        <w:gridCol w:w="3111"/>
        <w:gridCol w:w="3111"/>
        <w:gridCol w:w="3112"/>
        <w:gridCol w:w="3113"/>
      </w:tblGrid>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blHeader/>
        </w:trPr>
        <w:tc>
          <w:tcPr>
            <w:tcW w:w="12444" w:type="dxa"/>
            <w:gridSpan w:val="4"/>
            <w:tcBorders>
              <w:top w:val="nil"/>
              <w:left w:val="nil"/>
              <w:right w:val="nil"/>
            </w:tcBorders>
          </w:tcPr>
          <w:p>
            <w:pPr>
              <w:jc w:val="left"/>
              <w:rPr>
                <w:rFonts w:ascii="宋体" w:eastAsia="宋体" w:hAnsi="宋体" w:asciiTheme="minorEastAsia" w:eastAsiaTheme="minorEastAsia" w:hAnsiTheme="minorEastAsia" w:cs="Arial" w:cstheme="minorEastAsia" w:hint="eastAsia"/>
                <w:sz w:val="18"/>
                <w:szCs w:val="18"/>
                <w:vertAlign w:val="baseline"/>
                <w:lang w:eastAsia="zh-CN"/>
              </w:rPr>
            </w:pPr>
          </w:p>
          <w:p>
            <w:pPr>
              <w:jc w:val="left"/>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vertAlign w:val="baseline"/>
                <w:lang w:eastAsia="zh-CN"/>
              </w:rPr>
              <w:t xml:space="preserve">单位名称：</w:t>
            </w:r>
            <w:r>
              <w:rPr>
                <w:sz w:val="18"/>
                <w:u w:color="auto"/>
              </w:rPr>
              <w:t xml:space="preserve">河池市纤维检验所</w:t>
            </w:r>
          </w:p>
        </w:tc>
        <w:tc>
          <w:tcPr>
            <w:tcW w:w="3113" w:type="dxa"/>
            <w:tcBorders>
              <w:top w:val="nil"/>
              <w:left w:val="nil"/>
              <w:right w:val="nil"/>
            </w:tcBorders>
          </w:tcPr>
          <w:p>
            <w:pPr>
              <w:ind w:firstLine="1980" w:firstLineChars="1100"/>
              <w:jc w:val="right"/>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vertAlign w:val="baseline"/>
                <w:lang w:val="en-US" w:eastAsia="zh-CN"/>
              </w:rPr>
              <w:t xml:space="preserve">表06</w:t>
            </w:r>
          </w:p>
          <w:p>
            <w:pPr>
              <w:ind w:firstLine="1980" w:firstLineChars="1100"/>
              <w:jc w:val="right"/>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vertAlign w:val="baseline"/>
                <w:lang w:eastAsia="zh-CN"/>
              </w:rPr>
              <w:t xml:space="preserve">单位：万元</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435"/>
          <w:tblHeader/>
        </w:trPr>
        <w:tc>
          <w:tcPr>
            <w:tcW w:w="6221" w:type="dxa"/>
            <w:gridSpan w:val="2"/>
          </w:tcPr>
          <w:p>
            <w:pPr>
              <w:jc w:val="left"/>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部门预算支出经济分类科目</w:t>
            </w:r>
          </w:p>
        </w:tc>
        <w:tc>
          <w:tcPr>
            <w:tcW w:w="9336" w:type="dxa"/>
            <w:gridSpan w:val="3"/>
          </w:tcPr>
          <w:p>
            <w:pPr>
              <w:jc w:val="left"/>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本年一般公共预算基本支出</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420"/>
          <w:tblHeader/>
        </w:trPr>
        <w:tc>
          <w:tcPr>
            <w:tcW w:w="3110"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科目编码</w:t>
            </w:r>
          </w:p>
        </w:tc>
        <w:tc>
          <w:tcPr>
            <w:tcW w:w="3111"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科目名称</w:t>
            </w:r>
          </w:p>
        </w:tc>
        <w:tc>
          <w:tcPr>
            <w:tcW w:w="3111"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合计</w:t>
            </w:r>
          </w:p>
        </w:tc>
        <w:tc>
          <w:tcPr>
            <w:tcW w:w="3112"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人员经费</w:t>
            </w:r>
          </w:p>
        </w:tc>
        <w:tc>
          <w:tcPr>
            <w:tcW w:w="3113"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公用经费</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合计</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103.11</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101.30</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1.81</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301</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工资福利支出</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101.30</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101.30</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30101</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基本工资</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27.38</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27.38</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30102</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津贴补贴</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2.05</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2.05</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30107</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绩效工资</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17.91</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17.91</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30108</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机关事业单位基本养老保险缴费</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13.79</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13.79</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30109</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职业年金缴费</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6.90</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6.90</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30110</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职工基本医疗保险缴费</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5.52</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5.52</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30111</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公务员医疗补助缴费</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3.45</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3.45</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30112</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其他社会保障缴费</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0.87</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0.87</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30113</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住房公积金</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10.34</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10.34</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30199</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其他工资福利支出</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13.10</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13.10</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302</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商品和服务支出</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1.81</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1.81</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30201</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办公费</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30206</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电费</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30207</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邮电费</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30211</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差旅费</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30218</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专用材料费</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30228</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工会经费</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1.77</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1.77</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30229</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福利费</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0.04</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0.04</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395"/>
          <w:tblHeader/>
        </w:trPr>
        <w:tc>
          <w:tcPr>
            <w:tcW w:w="3110" w:type="dxa"/>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30231</w:t>
            </w:r>
          </w:p>
        </w:tc>
        <w:tc>
          <w:tcPr>
            <w:tcW w:w="3111"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公务用车运行维护费</w:t>
            </w:r>
          </w:p>
        </w:tc>
        <w:tc>
          <w:tcPr>
            <w:tcW w:w="311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3112"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311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trHeight w:val="288"/>
          <w:tblHeader/>
        </w:trPr>
        <w:tc>
          <w:tcPr>
            <w:tcW w:w="15557" w:type="dxa"/>
            <w:gridSpan w:val="5"/>
            <w:tcBorders>
              <w:left w:val="nil"/>
              <w:bottom w:val="nil"/>
              <w:right w:val="nil"/>
            </w:tcBorders>
          </w:tcPr>
          <w:p>
            <w:pPr>
              <w:jc w:val="left"/>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rPr>
              <w:t xml:space="preserve">注：本报表金额单位转换时可能存在四舍五入尾数误差。</w:t>
            </w:r>
          </w:p>
        </w:tc>
      </w:tr>
    </w:tbl>
    <w:p>
      <w:pPr>
        <w:jc w:val="left"/>
        <w:rPr>
          <w:rFonts w:ascii="宋体" w:eastAsia="宋体" w:hAnsi="宋体" w:asciiTheme="minorEastAsia" w:eastAsiaTheme="minorEastAsia" w:hAnsiTheme="minorEastAsia" w:cs="Arial" w:cstheme="minorEastAsia" w:hint="eastAsia"/>
          <w:sz w:val="32"/>
          <w:szCs w:val="32"/>
          <w:lang w:eastAsia="zh-CN"/>
        </w:rPr>
      </w:pPr>
    </w:p>
    <w:p>
      <w:pPr>
        <w:rPr>
          <w:rFonts w:ascii="宋体" w:eastAsia="宋体" w:hAnsi="宋体" w:asciiTheme="minorEastAsia" w:eastAsiaTheme="minorEastAsia" w:hAnsiTheme="minorEastAsia" w:cs="Arial" w:cstheme="minorEastAsia" w:hint="eastAsia"/>
          <w:sz w:val="32"/>
          <w:szCs w:val="32"/>
          <w:lang w:eastAsia="zh-CN"/>
        </w:rPr>
      </w:pPr>
      <w:r>
        <w:br w:type="page"/>
      </w:r>
    </w:p>
    <w:p>
      <w:pPr>
        <w:pStyle w:val="Heading#2|1"/>
        <w:keepNext/>
        <w:keepLines/>
        <w:spacing w:after="240"/>
        <w:jc w:val="center"/>
        <w:rPr>
          <w:rFonts w:ascii="宋体" w:eastAsia="宋体" w:hAnsi="宋体" w:asciiTheme="minorEastAsia" w:eastAsiaTheme="minorEastAsia" w:hAnsiTheme="minorEastAsia" w:cs="Arial" w:cstheme="minorEastAsia" w:hint="eastAsia"/>
          <w:sz w:val="32"/>
          <w:szCs w:val="32"/>
          <w:lang w:val="en-US" w:eastAsia="zh-CN"/>
        </w:rPr>
      </w:pPr>
      <w:bookmarkStart w:id="25" w:name="bookmark65"/>
      <w:bookmarkStart w:id="26" w:name="bookmark67"/>
      <w:bookmarkStart w:id="27" w:name="bookmark66"/>
      <w:r>
        <w:rPr>
          <w:rFonts w:ascii="宋体" w:eastAsia="宋体" w:hAnsi="宋体" w:asciiTheme="minorEastAsia" w:eastAsiaTheme="minorEastAsia" w:hAnsiTheme="minorEastAsia" w:cs="Arial" w:cstheme="minorEastAsia" w:hint="eastAsia"/>
          <w:sz w:val="32"/>
          <w:szCs w:val="32"/>
          <w:lang w:val="en-US" w:eastAsia="zh-CN"/>
        </w:rPr>
        <w:t xml:space="preserve">一般公共预算“三公”经费预算表</w:t>
      </w:r>
    </w:p>
    <w:tbl>
      <w:tblPr>
        <w:tblStyle w:val="TableGrid"/>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firstRow="0" w:lastRow="0" w:firstColumn="0" w:lastColumn="0" w:noHBand="1" w:noVBand="1"/>
      </w:tblPr>
      <w:tblGrid>
        <w:gridCol w:w="2296"/>
        <w:gridCol w:w="1918"/>
        <w:gridCol w:w="1884"/>
        <w:gridCol w:w="1895"/>
        <w:gridCol w:w="1888"/>
        <w:gridCol w:w="1890"/>
        <w:gridCol w:w="1895"/>
        <w:gridCol w:w="2"/>
        <w:gridCol w:w="1889"/>
      </w:tblGrid>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13666" w:type="dxa"/>
            <w:gridSpan w:val="7"/>
            <w:tcBorders>
              <w:top w:val="nil"/>
              <w:left w:val="nil"/>
              <w:right w:val="nil"/>
            </w:tcBorders>
          </w:tcPr>
          <w:p>
            <w:pPr>
              <w:pStyle w:val="Tablecaption|1"/>
              <w:bidi w:val="0"/>
              <w:jc w:val="both"/>
              <w:rPr>
                <w:rFonts w:ascii="宋体" w:eastAsia="宋体" w:hAnsi="宋体" w:asciiTheme="minorEastAsia" w:eastAsiaTheme="minorEastAsia" w:hAnsiTheme="minorEastAsia" w:cs="Arial" w:cstheme="minorEastAsia" w:hint="eastAsia"/>
                <w:sz w:val="18"/>
                <w:szCs w:val="18"/>
                <w:vertAlign w:val="baseline"/>
                <w:lang w:eastAsia="zh-CN"/>
              </w:rPr>
            </w:pPr>
          </w:p>
          <w:p>
            <w:pPr>
              <w:pStyle w:val="Tablecaption|1"/>
              <w:bidi w:val="0"/>
              <w:jc w:val="both"/>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vertAlign w:val="baseline"/>
                <w:lang w:eastAsia="zh-CN"/>
              </w:rPr>
              <w:t xml:space="preserve">单位名称：</w:t>
            </w:r>
            <w:r>
              <w:rPr>
                <w:sz w:val="18"/>
                <w:u w:color="auto"/>
              </w:rPr>
              <w:t xml:space="preserve">河池市纤维检验所</w:t>
            </w:r>
          </w:p>
        </w:tc>
        <w:tc>
          <w:tcPr>
            <w:tcW w:w="1891" w:type="dxa"/>
            <w:gridSpan w:val="2"/>
            <w:tcBorders>
              <w:top w:val="nil"/>
              <w:left w:val="nil"/>
              <w:right w:val="nil"/>
            </w:tcBorders>
          </w:tcPr>
          <w:p>
            <w:pPr>
              <w:pStyle w:val="Tablecaption|1"/>
              <w:bidi w:val="0"/>
              <w:ind w:firstLine="540" w:firstLineChars="300"/>
              <w:jc w:val="right"/>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表07</w:t>
            </w:r>
          </w:p>
          <w:p>
            <w:pPr>
              <w:pStyle w:val="Tablecaption|1"/>
              <w:bidi w:val="0"/>
              <w:ind w:firstLine="540" w:firstLineChars="300"/>
              <w:jc w:val="right"/>
              <w:rPr>
                <w:rFonts w:ascii="宋体" w:eastAsia="宋体" w:hAnsi="宋体" w:asciiTheme="minorEastAsia" w:eastAsiaTheme="minorEastAsia" w:hAnsiTheme="minorEastAsia" w:cs="Arial" w:cstheme="minorEastAsia" w:hint="eastAsia"/>
                <w:sz w:val="18"/>
                <w:szCs w:val="18"/>
                <w:vertAlign w:val="baseline"/>
                <w:lang w:eastAsia="zh-CN"/>
              </w:rPr>
            </w:pPr>
            <w:r>
              <w:rPr>
                <w:rFonts w:ascii="宋体" w:eastAsia="宋体" w:hAnsi="宋体" w:asciiTheme="minorEastAsia" w:eastAsiaTheme="minorEastAsia" w:hAnsiTheme="minorEastAsia" w:cs="Arial" w:cstheme="minorEastAsia" w:hint="eastAsia"/>
                <w:sz w:val="18"/>
                <w:szCs w:val="18"/>
                <w:vertAlign w:val="baseline"/>
                <w:lang w:eastAsia="zh-CN"/>
              </w:rPr>
              <w:t xml:space="preserve">单位：万元</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2296" w:type="dxa"/>
            <w:vMerge w:val="restart"/>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部</w:t>
            </w:r>
            <w:r>
              <w:rPr>
                <w:rFonts w:ascii="宋体" w:eastAsia="宋体" w:hAnsi="宋体" w:asciiTheme="minorEastAsia" w:eastAsiaTheme="minorEastAsia" w:hAnsiTheme="minorEastAsia" w:cs="Arial" w:cstheme="minorEastAsia" w:hint="eastAsia"/>
                <w:sz w:val="18"/>
                <w:szCs w:val="18"/>
              </w:rPr>
              <w:t xml:space="preserve">门（单位）代码</w:t>
            </w:r>
          </w:p>
        </w:tc>
        <w:tc>
          <w:tcPr>
            <w:tcW w:w="1918" w:type="dxa"/>
            <w:vMerge w:val="restart"/>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部门（单位）名称</w:t>
            </w:r>
          </w:p>
        </w:tc>
        <w:tc>
          <w:tcPr>
            <w:tcW w:w="11343" w:type="dxa"/>
            <w:gridSpan w:val="7"/>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lang w:val="zh-CN" w:eastAsia="zh-CN" w:bidi="zh-CN"/>
              </w:rPr>
              <w:t xml:space="preserve">“三</w:t>
            </w:r>
            <w:r>
              <w:rPr>
                <w:rFonts w:ascii="宋体" w:eastAsia="宋体" w:hAnsi="宋体" w:asciiTheme="minorEastAsia" w:eastAsiaTheme="minorEastAsia" w:hAnsiTheme="minorEastAsia" w:cs="Arial" w:cstheme="minorEastAsia" w:hint="eastAsia"/>
                <w:sz w:val="18"/>
                <w:szCs w:val="18"/>
              </w:rPr>
              <w:t xml:space="preserve">公”经费</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2296" w:type="dxa"/>
            <w:vMerge/>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p>
        </w:tc>
        <w:tc>
          <w:tcPr>
            <w:tcW w:w="1918" w:type="dxa"/>
            <w:vMerge/>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p>
        </w:tc>
        <w:tc>
          <w:tcPr>
            <w:tcW w:w="1884" w:type="dxa"/>
            <w:vMerge w:val="restart"/>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合计</w:t>
            </w:r>
          </w:p>
        </w:tc>
        <w:tc>
          <w:tcPr>
            <w:tcW w:w="1895" w:type="dxa"/>
            <w:vMerge w:val="restart"/>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因公出国（境）费</w:t>
            </w:r>
          </w:p>
        </w:tc>
        <w:tc>
          <w:tcPr>
            <w:tcW w:w="5675" w:type="dxa"/>
            <w:gridSpan w:val="4"/>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公务用车购置及运行维护费</w:t>
            </w:r>
          </w:p>
        </w:tc>
        <w:tc>
          <w:tcPr>
            <w:tcW w:w="1889" w:type="dxa"/>
            <w:vMerge w:val="restart"/>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公务接待费</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2296" w:type="dxa"/>
            <w:vMerge/>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p>
        </w:tc>
        <w:tc>
          <w:tcPr>
            <w:tcW w:w="1918" w:type="dxa"/>
            <w:vMerge/>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p>
        </w:tc>
        <w:tc>
          <w:tcPr>
            <w:tcW w:w="1884" w:type="dxa"/>
            <w:vMerge/>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p>
        </w:tc>
        <w:tc>
          <w:tcPr>
            <w:tcW w:w="1895" w:type="dxa"/>
            <w:vMerge/>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p>
        </w:tc>
        <w:tc>
          <w:tcPr>
            <w:tcW w:w="1888"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小计</w:t>
            </w:r>
          </w:p>
        </w:tc>
        <w:tc>
          <w:tcPr>
            <w:tcW w:w="1890" w:type="dxa"/>
            <w:vAlign w:val="center"/>
          </w:tcPr>
          <w:p>
            <w:pPr>
              <w:pStyle w:val="Other|1"/>
              <w:spacing w:line="240" w:lineRule="auto"/>
              <w:ind w:firstLine="22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公务用车运行维护费</w:t>
            </w:r>
          </w:p>
        </w:tc>
        <w:tc>
          <w:tcPr>
            <w:tcW w:w="1897" w:type="dxa"/>
            <w:gridSpan w:val="2"/>
            <w:vAlign w:val="center"/>
          </w:tcPr>
          <w:p>
            <w:pPr>
              <w:pStyle w:val="Other|1"/>
              <w:spacing w:line="240" w:lineRule="auto"/>
              <w:ind w:firstLine="40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公务用车购置费</w:t>
            </w:r>
          </w:p>
        </w:tc>
        <w:tc>
          <w:tcPr>
            <w:tcW w:w="1889" w:type="dxa"/>
            <w:vMerge/>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2296" w:type="dxa"/>
            <w:vAlign w:val="center"/>
          </w:tcPr>
          <w:p>
            <w:pPr>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p>
        </w:tc>
        <w:tc>
          <w:tcPr>
            <w:tcW w:w="1918" w:type="dxa"/>
            <w:vAlign w:val="center"/>
          </w:tcPr>
          <w:p>
            <w:pPr>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p>
        </w:tc>
        <w:tc>
          <w:tcPr>
            <w:tcW w:w="1884"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1</w:t>
            </w:r>
          </w:p>
        </w:tc>
        <w:tc>
          <w:tcPr>
            <w:tcW w:w="1895"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2</w:t>
            </w:r>
          </w:p>
        </w:tc>
        <w:tc>
          <w:tcPr>
            <w:tcW w:w="1888"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3</w:t>
            </w:r>
          </w:p>
        </w:tc>
        <w:tc>
          <w:tcPr>
            <w:tcW w:w="1890"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4</w:t>
            </w:r>
          </w:p>
        </w:tc>
        <w:tc>
          <w:tcPr>
            <w:tcW w:w="1897" w:type="dxa"/>
            <w:gridSpan w:val="2"/>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5</w:t>
            </w:r>
          </w:p>
        </w:tc>
        <w:tc>
          <w:tcPr>
            <w:tcW w:w="1889"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b/>
                <w:bCs/>
                <w:sz w:val="18"/>
                <w:szCs w:val="18"/>
              </w:rPr>
              <w:t xml:space="preserve">6</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2296"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127005</w:t>
            </w:r>
          </w:p>
        </w:tc>
        <w:tc>
          <w:tcPr>
            <w:tcW w:w="1918"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p>
        </w:tc>
        <w:tc>
          <w:tcPr>
            <w:tcW w:w="1884"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2.00</w:t>
            </w:r>
          </w:p>
        </w:tc>
        <w:tc>
          <w:tcPr>
            <w:tcW w:w="1895"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1888"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2.00</w:t>
            </w:r>
          </w:p>
        </w:tc>
        <w:tc>
          <w:tcPr>
            <w:tcW w:w="1890"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2.00</w:t>
            </w:r>
          </w:p>
        </w:tc>
        <w:tc>
          <w:tcPr>
            <w:tcW w:w="1897" w:type="dxa"/>
            <w:gridSpan w:val="2"/>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1889"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Height w:val="312"/>
        </w:trPr>
        <w:tc>
          <w:tcPr>
            <w:tcW w:w="15557" w:type="dxa"/>
            <w:gridSpan w:val="9"/>
            <w:tcBorders>
              <w:left w:val="nil"/>
              <w:bottom w:val="nil"/>
              <w:right w:val="nil"/>
            </w:tcBorders>
          </w:tcPr>
          <w:p>
            <w:pPr>
              <w:pStyle w:val="Tablecaption|1"/>
              <w:bidi w:val="0"/>
              <w:jc w:val="both"/>
              <w:rPr>
                <w:rFonts w:ascii="宋体" w:eastAsia="宋体" w:hAnsi="宋体" w:asciiTheme="minorEastAsia" w:eastAsiaTheme="minorEastAsia" w:hAnsiTheme="minorEastAsia" w:cs="Arial" w:cstheme="minorEastAsia" w:hint="eastAsia"/>
                <w:sz w:val="18"/>
                <w:szCs w:val="18"/>
                <w:vertAlign w:val="baseline"/>
                <w:lang w:val="en-US" w:eastAsia="zh-CN"/>
              </w:rPr>
            </w:pPr>
            <w:r>
              <w:rPr>
                <w:rFonts w:ascii="宋体" w:eastAsia="宋体" w:hAnsi="宋体" w:asciiTheme="minorEastAsia" w:eastAsiaTheme="minorEastAsia" w:hAnsiTheme="minorEastAsia" w:cs="Arial" w:cstheme="minorEastAsia" w:hint="eastAsia"/>
                <w:sz w:val="18"/>
                <w:szCs w:val="18"/>
              </w:rPr>
              <w:t xml:space="preserve">注：本报表金额单位转换时可能存在四舍五入尾数误差</w:t>
            </w:r>
          </w:p>
        </w:tc>
      </w:tr>
    </w:tbl>
    <w:p>
      <w:pPr>
        <w:rPr>
          <w:rFonts w:ascii="宋体" w:eastAsia="宋体" w:hAnsi="宋体" w:asciiTheme="minorEastAsia" w:eastAsiaTheme="minorEastAsia" w:hAnsiTheme="minorEastAsia" w:cs="Arial" w:cstheme="minorEastAsia" w:hint="eastAsia"/>
          <w:sz w:val="32"/>
          <w:szCs w:val="32"/>
          <w:lang w:val="en-US" w:eastAsia="zh-CN"/>
        </w:rPr>
      </w:pPr>
      <w:r>
        <w:br w:type="page"/>
      </w:r>
    </w:p>
    <w:p>
      <w:pPr>
        <w:pStyle w:val="Tablecaption|1"/>
        <w:bidi w:val="0"/>
        <w:rPr>
          <w:rFonts w:ascii="宋体" w:eastAsia="宋体" w:hAnsi="宋体" w:asciiTheme="minorEastAsia" w:eastAsiaTheme="minorEastAsia" w:hAnsiTheme="minorEastAsia" w:cs="Arial" w:cstheme="minorEastAsia" w:hint="eastAsia"/>
          <w:sz w:val="32"/>
          <w:szCs w:val="32"/>
        </w:rPr>
      </w:pPr>
    </w:p>
    <w:p>
      <w:pPr>
        <w:pStyle w:val="Heading#2|1"/>
        <w:keepNext/>
        <w:keepLines/>
        <w:spacing w:after="240"/>
        <w:jc w:val="center"/>
        <w:rPr>
          <w:rFonts w:ascii="宋体" w:eastAsia="宋体" w:hAnsi="宋体" w:asciiTheme="minorEastAsia" w:eastAsiaTheme="minorEastAsia" w:hAnsiTheme="minorEastAsia" w:cs="Arial" w:cstheme="minorEastAsia" w:hint="eastAsia"/>
          <w:sz w:val="32"/>
          <w:szCs w:val="32"/>
          <w:lang w:val="en-US"/>
        </w:rPr>
      </w:pPr>
      <w:r>
        <w:rPr>
          <w:rFonts w:ascii="宋体" w:eastAsia="宋体" w:hAnsi="宋体" w:asciiTheme="minorEastAsia" w:eastAsiaTheme="minorEastAsia" w:hAnsiTheme="minorEastAsia" w:cs="Arial" w:cstheme="minorEastAsia" w:hint="eastAsia"/>
          <w:sz w:val="32"/>
          <w:szCs w:val="32"/>
        </w:rPr>
        <w:t xml:space="preserve">政府性基金预算支出情况表</w:t>
      </w:r>
      <w:bookmarkEnd w:id="25"/>
      <w:bookmarkEnd w:id="26"/>
      <w:bookmarkEnd w:id="27"/>
    </w:p>
    <w:tbl>
      <w:tblPr>
        <w:tblStyle w:val="TableGrid"/>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firstRow="0" w:lastRow="0" w:firstColumn="0" w:lastColumn="0" w:noHBand="1" w:noVBand="1"/>
      </w:tblPr>
      <w:tblGrid>
        <w:gridCol w:w="2524"/>
        <w:gridCol w:w="2160"/>
        <w:gridCol w:w="2161"/>
        <w:gridCol w:w="2221"/>
        <w:gridCol w:w="2160"/>
        <w:gridCol w:w="2169"/>
        <w:gridCol w:w="2162"/>
      </w:tblGrid>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Height w:val="0"/>
        </w:trPr>
        <w:tc>
          <w:tcPr>
            <w:tcW w:w="13328" w:type="dxa"/>
            <w:gridSpan w:val="6"/>
            <w:tcBorders>
              <w:top w:val="nil"/>
              <w:left w:val="nil"/>
              <w:right w:val="nil"/>
            </w:tcBorders>
            <w:vAlign w:val="bottom"/>
          </w:tcPr>
          <w:p>
            <w:pPr>
              <w:pStyle w:val="Tablecaption|1"/>
              <w:tabs>
                <w:tab w:val="left" w:pos="14213"/>
              </w:tabs>
              <w:jc w:val="both"/>
              <w:rPr>
                <w:rFonts w:ascii="宋体" w:eastAsia="宋体" w:hAnsi="宋体" w:asciiTheme="minorEastAsia" w:eastAsiaTheme="minorEastAsia" w:hAnsiTheme="minorEastAsia" w:cs="Arial" w:cstheme="minorEastAsia" w:hint="eastAsia"/>
                <w:sz w:val="18"/>
                <w:szCs w:val="18"/>
              </w:rPr>
            </w:pPr>
          </w:p>
          <w:p>
            <w:pPr>
              <w:pStyle w:val="Tablecaption|1"/>
              <w:tabs>
                <w:tab w:val="left" w:pos="14213"/>
              </w:tabs>
              <w:jc w:val="both"/>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单位名称：</w:t>
            </w:r>
            <w:r>
              <w:rPr>
                <w:rFonts w:ascii="宋体" w:eastAsia="宋体" w:hAnsi="宋体" w:asciiTheme="minorEastAsia" w:eastAsiaTheme="minorEastAsia" w:hAnsiTheme="minorEastAsia" w:cs="Arial" w:cstheme="minorEastAsia" w:hint="eastAsia"/>
                <w:sz w:val="18"/>
                <w:szCs w:val="18"/>
                <w:lang w:eastAsia="zh-CN"/>
              </w:rPr>
              <w:t xml:space="preserve">河池市纤维检验所</w:t>
            </w:r>
            <w:r>
              <w:rPr>
                <w:rFonts w:ascii="宋体" w:eastAsia="宋体" w:hAnsi="宋体" w:asciiTheme="minorEastAsia" w:eastAsiaTheme="minorEastAsia" w:hAnsiTheme="minorEastAsia" w:cs="Arial" w:cstheme="minorEastAsia" w:hint="eastAsia"/>
                <w:sz w:val="18"/>
                <w:szCs w:val="18"/>
              </w:rPr>
              <w:tab/>
            </w:r>
            <w:r>
              <w:rPr>
                <w:rFonts w:ascii="宋体" w:eastAsia="宋体" w:hAnsi="宋体" w:asciiTheme="minorEastAsia" w:eastAsiaTheme="minorEastAsia" w:hAnsiTheme="minorEastAsia" w:cs="Arial" w:cstheme="minorEastAsia" w:hint="eastAsia"/>
                <w:sz w:val="18"/>
                <w:szCs w:val="18"/>
              </w:rPr>
              <w:t xml:space="preserve">单位：万元</w:t>
            </w:r>
          </w:p>
        </w:tc>
        <w:tc>
          <w:tcPr>
            <w:tcW w:w="2151" w:type="dxa"/>
            <w:tcBorders>
              <w:top w:val="nil"/>
              <w:left w:val="nil"/>
              <w:right w:val="nil"/>
            </w:tcBorders>
            <w:vAlign w:val="bottom"/>
          </w:tcPr>
          <w:p>
            <w:pPr>
              <w:pStyle w:val="Tablecaption|1"/>
              <w:tabs>
                <w:tab w:val="left" w:pos="14213"/>
              </w:tabs>
              <w:ind w:left="101" w:firstLine="720" w:firstLineChars="400"/>
              <w:jc w:val="right"/>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表08</w:t>
            </w:r>
          </w:p>
          <w:p>
            <w:pPr>
              <w:pStyle w:val="Tablecaption|1"/>
              <w:tabs>
                <w:tab w:val="left" w:pos="14213"/>
              </w:tabs>
              <w:ind w:left="101" w:firstLine="720" w:firstLineChars="400"/>
              <w:jc w:val="righ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单位：万元</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Height w:val="0"/>
        </w:trPr>
        <w:tc>
          <w:tcPr>
            <w:tcW w:w="2512" w:type="dxa"/>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sz w:val="18"/>
                <w:szCs w:val="18"/>
              </w:rPr>
              <w:t xml:space="preserve">科目编码</w:t>
            </w:r>
          </w:p>
        </w:tc>
        <w:tc>
          <w:tcPr>
            <w:tcW w:w="2149" w:type="dxa"/>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sz w:val="18"/>
                <w:szCs w:val="18"/>
              </w:rPr>
              <w:t xml:space="preserve">部门（单位）代码</w:t>
            </w:r>
          </w:p>
        </w:tc>
        <w:tc>
          <w:tcPr>
            <w:tcW w:w="2150" w:type="dxa"/>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sz w:val="18"/>
                <w:szCs w:val="18"/>
              </w:rPr>
              <w:t xml:space="preserve">部门（单位）名称（功能分类科目名称）</w:t>
            </w:r>
          </w:p>
        </w:tc>
        <w:tc>
          <w:tcPr>
            <w:tcW w:w="2210"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sz w:val="18"/>
                <w:szCs w:val="18"/>
              </w:rPr>
              <w:t xml:space="preserve">合计</w:t>
            </w:r>
          </w:p>
        </w:tc>
        <w:tc>
          <w:tcPr>
            <w:tcW w:w="2149"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sz w:val="18"/>
                <w:szCs w:val="18"/>
              </w:rPr>
              <w:t xml:space="preserve">基本支出</w:t>
            </w:r>
          </w:p>
        </w:tc>
        <w:tc>
          <w:tcPr>
            <w:tcW w:w="2158"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sz w:val="18"/>
                <w:szCs w:val="18"/>
              </w:rPr>
              <w:t xml:space="preserve">项目支出</w:t>
            </w:r>
          </w:p>
        </w:tc>
        <w:tc>
          <w:tcPr>
            <w:tcW w:w="2151"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sz w:val="18"/>
                <w:szCs w:val="18"/>
              </w:rPr>
              <w:t xml:space="preserve">结转下年支出</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Height w:val="0"/>
        </w:trPr>
        <w:tc>
          <w:tcPr>
            <w:tcW w:w="2512"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rPr>
            </w:pPr>
          </w:p>
        </w:tc>
        <w:tc>
          <w:tcPr>
            <w:tcW w:w="2149"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rPr>
            </w:pPr>
          </w:p>
        </w:tc>
        <w:tc>
          <w:tcPr>
            <w:tcW w:w="2150"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b w:val="0"/>
                <w:bCs w:val="0"/>
                <w:sz w:val="18"/>
                <w:szCs w:val="18"/>
                <w:vertAlign w:val="baseline"/>
              </w:rPr>
            </w:pPr>
          </w:p>
        </w:tc>
        <w:tc>
          <w:tcPr>
            <w:tcW w:w="2210" w:type="dxa"/>
            <w:vAlign w:val="center"/>
          </w:tcPr>
          <w:p>
            <w:pPr>
              <w:pStyle w:val="Other|1"/>
              <w:spacing w:line="240" w:lineRule="auto"/>
              <w:ind w:left="1060" w:firstLine="0" w:leftChars="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c>
          <w:tcPr>
            <w:tcW w:w="2149"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0.00</w:t>
            </w:r>
          </w:p>
        </w:tc>
        <w:tc>
          <w:tcPr>
            <w:tcW w:w="2158"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c>
          <w:tcPr>
            <w:tcW w:w="215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b w:val="0"/>
                <w:bCs w:val="0"/>
                <w:sz w:val="18"/>
                <w:szCs w:val="18"/>
                <w:vertAlign w:val="baseline"/>
              </w:rPr>
            </w:pPr>
            <w:r>
              <w:rPr>
                <w:rFonts w:ascii="宋体" w:eastAsia="宋体" w:hAnsi="宋体" w:asciiTheme="minorEastAsia" w:eastAsiaTheme="minorEastAsia" w:hAnsiTheme="minorEastAsia" w:cs="Arial" w:cstheme="minorEastAsia" w:hint="eastAsia"/>
                <w:b w:val="0"/>
                <w:bCs w:val="0"/>
                <w:sz w:val="18"/>
                <w:szCs w:val="18"/>
                <w:lang w:val="en-US" w:eastAsia="zh-CN" w:bidi="en-US"/>
              </w:rPr>
              <w:t xml:space="preserve">0.00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Height w:val="0"/>
        </w:trPr>
        <w:tc>
          <w:tcPr>
            <w:tcW w:w="15479" w:type="dxa"/>
            <w:gridSpan w:val="7"/>
            <w:tcBorders>
              <w:left w:val="nil"/>
              <w:bottom w:val="nil"/>
              <w:right w:val="nil"/>
            </w:tcBorders>
          </w:tcPr>
          <w:p>
            <w:pPr>
              <w:pStyle w:val="Tablecaption|1"/>
              <w:bidi w:val="0"/>
              <w:jc w:val="both"/>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b w:val="0"/>
                <w:bCs w:val="0"/>
                <w:sz w:val="18"/>
                <w:szCs w:val="18"/>
              </w:rPr>
              <w:t xml:space="preserve">注：本报表金额单位转换时可能存在四舍五入尾数误差</w:t>
            </w:r>
          </w:p>
        </w:tc>
      </w:tr>
    </w:tbl>
    <w:p>
      <w:pPr>
        <w:pStyle w:val="Tablecaption|1"/>
        <w:bidi w:val="0"/>
        <w:rPr>
          <w:rFonts w:ascii="宋体" w:eastAsia="宋体" w:hAnsi="宋体" w:asciiTheme="minorEastAsia" w:eastAsiaTheme="minorEastAsia" w:hAnsiTheme="minorEastAsia" w:cs="Arial" w:cstheme="minorEastAsia" w:hint="eastAsia"/>
          <w:sz w:val="32"/>
          <w:szCs w:val="32"/>
        </w:rPr>
      </w:pPr>
    </w:p>
    <w:p>
      <w:pPr>
        <w:rPr>
          <w:rFonts w:ascii="宋体" w:eastAsia="宋体" w:hAnsi="宋体" w:asciiTheme="minorEastAsia" w:eastAsiaTheme="minorEastAsia" w:hAnsiTheme="minorEastAsia" w:cs="Arial" w:cstheme="minorEastAsia" w:hint="eastAsia"/>
          <w:sz w:val="32"/>
          <w:szCs w:val="32"/>
        </w:rPr>
      </w:pPr>
      <w:r>
        <w:br w:type="page"/>
      </w:r>
    </w:p>
    <w:p>
      <w:pPr>
        <w:pStyle w:val="Tablecaption|1"/>
        <w:bidi w:val="0"/>
        <w:rPr>
          <w:rFonts w:ascii="宋体" w:eastAsia="宋体" w:hAnsi="宋体" w:asciiTheme="minorEastAsia" w:eastAsiaTheme="minorEastAsia" w:hAnsiTheme="minorEastAsia" w:cs="Arial" w:cstheme="minorEastAsia" w:hint="eastAsia"/>
          <w:sz w:val="32"/>
          <w:szCs w:val="32"/>
        </w:rPr>
      </w:pPr>
    </w:p>
    <w:p>
      <w:pPr>
        <w:pStyle w:val="Tablecaption|1"/>
        <w:bidi w:val="0"/>
        <w:jc w:val="center"/>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国有资本经营预算支出情况表</w:t>
      </w:r>
    </w:p>
    <w:tbl>
      <w:tblPr>
        <w:tblStyle w:val="TableGrid"/>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firstRow="0" w:lastRow="0" w:firstColumn="0" w:lastColumn="0" w:noHBand="1" w:noVBand="1"/>
      </w:tblPr>
      <w:tblGrid>
        <w:gridCol w:w="2515"/>
        <w:gridCol w:w="2152"/>
        <w:gridCol w:w="2153"/>
        <w:gridCol w:w="2279"/>
        <w:gridCol w:w="2152"/>
        <w:gridCol w:w="2152"/>
        <w:gridCol w:w="2154"/>
      </w:tblGrid>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Height w:val="468"/>
        </w:trPr>
        <w:tc>
          <w:tcPr>
            <w:tcW w:w="13394" w:type="dxa"/>
            <w:gridSpan w:val="6"/>
            <w:tcBorders>
              <w:top w:val="nil"/>
              <w:left w:val="nil"/>
              <w:right w:val="nil"/>
            </w:tcBorders>
            <w:vAlign w:val="bottom"/>
          </w:tcPr>
          <w:p>
            <w:pPr>
              <w:pStyle w:val="Tablecaption|1"/>
              <w:tabs>
                <w:tab w:val="left" w:pos="14213"/>
              </w:tabs>
              <w:ind w:left="101"/>
              <w:jc w:val="both"/>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单位名称：</w:t>
            </w:r>
            <w:r>
              <w:rPr>
                <w:rFonts w:ascii="宋体" w:eastAsia="宋体" w:hAnsi="宋体" w:asciiTheme="minorEastAsia" w:eastAsiaTheme="minorEastAsia" w:hAnsiTheme="minorEastAsia" w:cs="Arial" w:cstheme="minorEastAsia" w:hint="eastAsia"/>
                <w:sz w:val="18"/>
                <w:szCs w:val="18"/>
                <w:lang w:eastAsia="zh-CN"/>
              </w:rPr>
              <w:t xml:space="preserve">河池市纤维检验所</w:t>
            </w:r>
            <w:r>
              <w:rPr>
                <w:rFonts w:ascii="宋体" w:eastAsia="宋体" w:hAnsi="宋体" w:asciiTheme="minorEastAsia" w:eastAsiaTheme="minorEastAsia" w:hAnsiTheme="minorEastAsia" w:cs="Arial" w:cstheme="minorEastAsia" w:hint="eastAsia"/>
                <w:sz w:val="18"/>
                <w:szCs w:val="18"/>
              </w:rPr>
              <w:tab/>
            </w:r>
            <w:r>
              <w:rPr>
                <w:rFonts w:ascii="宋体" w:eastAsia="宋体" w:hAnsi="宋体" w:asciiTheme="minorEastAsia" w:eastAsiaTheme="minorEastAsia" w:hAnsiTheme="minorEastAsia" w:cs="Arial" w:cstheme="minorEastAsia" w:hint="eastAsia"/>
                <w:sz w:val="18"/>
                <w:szCs w:val="18"/>
              </w:rPr>
              <w:t xml:space="preserve">单位：万元</w:t>
            </w:r>
          </w:p>
        </w:tc>
        <w:tc>
          <w:tcPr>
            <w:tcW w:w="2163" w:type="dxa"/>
            <w:tcBorders>
              <w:top w:val="nil"/>
              <w:left w:val="nil"/>
              <w:right w:val="nil"/>
            </w:tcBorders>
            <w:vAlign w:val="bottom"/>
          </w:tcPr>
          <w:p>
            <w:pPr>
              <w:pStyle w:val="Tablecaption|1"/>
              <w:bidi w:val="0"/>
              <w:jc w:val="right"/>
              <w:rPr>
                <w:rFonts w:ascii="宋体" w:eastAsia="宋体" w:hAnsi="宋体" w:asciiTheme="minorEastAsia" w:eastAsiaTheme="minorEastAsia" w:hAnsiTheme="minorEastAsia" w:cs="Arial" w:cstheme="minorEastAsia" w:hint="eastAsia"/>
                <w:sz w:val="18"/>
                <w:szCs w:val="18"/>
                <w:lang w:val="en-US"/>
              </w:rPr>
            </w:pPr>
            <w:r>
              <w:rPr>
                <w:rFonts w:ascii="宋体" w:eastAsia="宋体" w:hAnsi="宋体" w:asciiTheme="minorEastAsia" w:eastAsiaTheme="minorEastAsia" w:hAnsiTheme="minorEastAsia" w:cs="Arial" w:cstheme="minorEastAsia" w:hint="eastAsia"/>
                <w:sz w:val="18"/>
                <w:szCs w:val="18"/>
                <w:lang w:val="en-US" w:eastAsia="zh-CN"/>
              </w:rPr>
              <w:t xml:space="preserve">表09</w:t>
            </w:r>
          </w:p>
          <w:p>
            <w:pPr>
              <w:pStyle w:val="Tablecaption|1"/>
              <w:tabs>
                <w:tab w:val="left" w:pos="14213"/>
              </w:tabs>
              <w:ind w:left="101"/>
              <w:jc w:val="righ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单位：万元</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2527" w:type="dxa"/>
            <w:vMerge w:val="restart"/>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sz w:val="18"/>
                <w:szCs w:val="18"/>
              </w:rPr>
              <w:t xml:space="preserve">科目编码</w:t>
            </w:r>
          </w:p>
        </w:tc>
        <w:tc>
          <w:tcPr>
            <w:tcW w:w="2161" w:type="dxa"/>
            <w:vMerge w:val="restart"/>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sz w:val="18"/>
                <w:szCs w:val="18"/>
              </w:rPr>
              <w:t xml:space="preserve">部门（单位）代码</w:t>
            </w:r>
          </w:p>
        </w:tc>
        <w:tc>
          <w:tcPr>
            <w:tcW w:w="2162" w:type="dxa"/>
            <w:vMerge w:val="restart"/>
          </w:tcPr>
          <w:p>
            <w:pPr>
              <w:pStyle w:val="Tablecaption|1"/>
              <w:bidi w:val="0"/>
              <w:jc w:val="center"/>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sz w:val="18"/>
                <w:szCs w:val="18"/>
              </w:rPr>
              <w:t xml:space="preserve">部门（单位）名称（功能分类科目名称）</w:t>
            </w:r>
          </w:p>
        </w:tc>
        <w:tc>
          <w:tcPr>
            <w:tcW w:w="2222"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sz w:val="18"/>
                <w:szCs w:val="18"/>
              </w:rPr>
              <w:t xml:space="preserve">合计</w:t>
            </w:r>
          </w:p>
        </w:tc>
        <w:tc>
          <w:tcPr>
            <w:tcW w:w="2161"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sz w:val="18"/>
                <w:szCs w:val="18"/>
              </w:rPr>
              <w:t xml:space="preserve">基本支出</w:t>
            </w:r>
          </w:p>
        </w:tc>
        <w:tc>
          <w:tcPr>
            <w:tcW w:w="2161"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sz w:val="18"/>
                <w:szCs w:val="18"/>
              </w:rPr>
              <w:t xml:space="preserve">项目支出</w:t>
            </w:r>
          </w:p>
        </w:tc>
        <w:tc>
          <w:tcPr>
            <w:tcW w:w="2163"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sz w:val="18"/>
                <w:szCs w:val="18"/>
              </w:rPr>
              <w:t xml:space="preserve">结转下年支出</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2527" w:type="dxa"/>
            <w:vMerge/>
          </w:tcPr>
          <w:p>
            <w:pPr>
              <w:pStyle w:val="Tablecaption|1"/>
              <w:bidi w:val="0"/>
              <w:jc w:val="both"/>
              <w:rPr>
                <w:rFonts w:ascii="宋体" w:eastAsia="宋体" w:hAnsi="宋体" w:asciiTheme="minorEastAsia" w:eastAsiaTheme="minorEastAsia" w:hAnsiTheme="minorEastAsia" w:cs="Arial" w:cstheme="minorEastAsia" w:hint="eastAsia"/>
                <w:sz w:val="18"/>
                <w:szCs w:val="18"/>
                <w:vertAlign w:val="baseline"/>
              </w:rPr>
            </w:pPr>
          </w:p>
        </w:tc>
        <w:tc>
          <w:tcPr>
            <w:tcW w:w="2161" w:type="dxa"/>
            <w:vMerge/>
          </w:tcPr>
          <w:p>
            <w:pPr>
              <w:pStyle w:val="Tablecaption|1"/>
              <w:bidi w:val="0"/>
              <w:jc w:val="both"/>
              <w:rPr>
                <w:rFonts w:ascii="宋体" w:eastAsia="宋体" w:hAnsi="宋体" w:asciiTheme="minorEastAsia" w:eastAsiaTheme="minorEastAsia" w:hAnsiTheme="minorEastAsia" w:cs="Arial" w:cstheme="minorEastAsia" w:hint="eastAsia"/>
                <w:sz w:val="18"/>
                <w:szCs w:val="18"/>
                <w:vertAlign w:val="baseline"/>
              </w:rPr>
            </w:pPr>
          </w:p>
        </w:tc>
        <w:tc>
          <w:tcPr>
            <w:tcW w:w="2162" w:type="dxa"/>
            <w:vMerge/>
          </w:tcPr>
          <w:p>
            <w:pPr>
              <w:pStyle w:val="Tablecaption|1"/>
              <w:bidi w:val="0"/>
              <w:jc w:val="both"/>
              <w:rPr>
                <w:rFonts w:ascii="宋体" w:eastAsia="宋体" w:hAnsi="宋体" w:asciiTheme="minorEastAsia" w:eastAsiaTheme="minorEastAsia" w:hAnsiTheme="minorEastAsia" w:cs="Arial" w:cstheme="minorEastAsia" w:hint="eastAsia"/>
                <w:sz w:val="18"/>
                <w:szCs w:val="18"/>
                <w:vertAlign w:val="baseline"/>
              </w:rPr>
            </w:pPr>
          </w:p>
        </w:tc>
        <w:tc>
          <w:tcPr>
            <w:tcW w:w="2222"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b/>
                <w:bCs/>
                <w:sz w:val="18"/>
                <w:szCs w:val="18"/>
              </w:rPr>
              <w:t xml:space="preserve">1</w:t>
            </w:r>
          </w:p>
        </w:tc>
        <w:tc>
          <w:tcPr>
            <w:tcW w:w="2161"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b/>
                <w:bCs/>
                <w:sz w:val="18"/>
                <w:szCs w:val="18"/>
              </w:rPr>
              <w:t xml:space="preserve">2</w:t>
            </w:r>
          </w:p>
        </w:tc>
        <w:tc>
          <w:tcPr>
            <w:tcW w:w="2161"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b/>
                <w:bCs/>
                <w:sz w:val="18"/>
                <w:szCs w:val="18"/>
              </w:rPr>
              <w:t xml:space="preserve">3</w:t>
            </w:r>
          </w:p>
        </w:tc>
        <w:tc>
          <w:tcPr>
            <w:tcW w:w="2163" w:type="dxa"/>
            <w:vAlign w:val="center"/>
          </w:tcPr>
          <w:p>
            <w:pPr>
              <w:pStyle w:val="Other|1"/>
              <w:spacing w:line="240" w:lineRule="auto"/>
              <w:ind w:firstLine="0" w:firstLineChars="0"/>
              <w:jc w:val="center"/>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b/>
                <w:bCs/>
                <w:sz w:val="18"/>
                <w:szCs w:val="18"/>
              </w:rPr>
              <w:t xml:space="preserve">4</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2527" w:type="dxa"/>
          </w:tcPr>
          <w:p>
            <w:pPr>
              <w:jc w:val="left"/>
              <w:rPr>
                <w:rFonts w:ascii="宋体" w:eastAsia="宋体" w:hAnsi="宋体" w:asciiTheme="minorEastAsia" w:eastAsiaTheme="minorEastAsia" w:hAnsiTheme="minorEastAsia" w:cs="Arial" w:cstheme="minorEastAsia" w:hint="eastAsia"/>
                <w:sz w:val="18"/>
                <w:szCs w:val="18"/>
                <w:vertAlign w:val="baseline"/>
              </w:rPr>
            </w:pPr>
          </w:p>
        </w:tc>
        <w:tc>
          <w:tcPr>
            <w:tcW w:w="2161" w:type="dxa"/>
          </w:tcPr>
          <w:p>
            <w:pPr>
              <w:jc w:val="left"/>
              <w:rPr>
                <w:rFonts w:ascii="宋体" w:eastAsia="宋体" w:hAnsi="宋体" w:asciiTheme="minorEastAsia" w:eastAsiaTheme="minorEastAsia" w:hAnsiTheme="minorEastAsia" w:cs="Arial" w:cstheme="minorEastAsia" w:hint="eastAsia"/>
                <w:sz w:val="18"/>
                <w:szCs w:val="18"/>
                <w:vertAlign w:val="baseline"/>
              </w:rPr>
            </w:pPr>
          </w:p>
        </w:tc>
        <w:tc>
          <w:tcPr>
            <w:tcW w:w="2162" w:type="dxa"/>
            <w:vAlign w:val="center"/>
          </w:tcPr>
          <w:p>
            <w:pPr>
              <w:pStyle w:val="Other|1"/>
              <w:spacing w:line="240" w:lineRule="auto"/>
              <w:ind w:firstLine="0" w:firstLineChars="0"/>
              <w:jc w:val="left"/>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sz w:val="18"/>
                <w:szCs w:val="18"/>
              </w:rPr>
              <w:t xml:space="preserve">合计</w:t>
            </w:r>
          </w:p>
        </w:tc>
        <w:tc>
          <w:tcPr>
            <w:tcW w:w="2222" w:type="dxa"/>
            <w:vAlign w:val="center"/>
          </w:tcPr>
          <w:p>
            <w:pPr>
              <w:pStyle w:val="Other|1"/>
              <w:spacing w:line="240" w:lineRule="auto"/>
              <w:ind w:left="1700" w:firstLine="0" w:leftChars="0" w:firstLineChars="0"/>
              <w:jc w:val="right"/>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b/>
                <w:bCs/>
                <w:sz w:val="18"/>
                <w:szCs w:val="18"/>
                <w:lang w:val="en-US" w:eastAsia="en-US" w:bidi="en-US"/>
              </w:rPr>
              <w:t xml:space="preserve">0.</w:t>
            </w:r>
            <w:r>
              <w:rPr>
                <w:rFonts w:ascii="宋体" w:eastAsia="宋体" w:hAnsi="宋体" w:asciiTheme="minorEastAsia" w:eastAsiaTheme="minorEastAsia" w:hAnsiTheme="minorEastAsia" w:cs="Arial" w:cstheme="minorEastAsia" w:hint="eastAsia"/>
                <w:b/>
                <w:bCs/>
                <w:sz w:val="18"/>
                <w:szCs w:val="18"/>
              </w:rPr>
              <w:t xml:space="preserve">00</w:t>
            </w:r>
          </w:p>
        </w:tc>
        <w:tc>
          <w:tcPr>
            <w:tcW w:w="216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b/>
                <w:bCs/>
                <w:sz w:val="18"/>
                <w:szCs w:val="18"/>
                <w:lang w:val="en-US" w:eastAsia="en-US" w:bidi="en-US"/>
              </w:rPr>
              <w:t xml:space="preserve">0.</w:t>
            </w:r>
            <w:r>
              <w:rPr>
                <w:rFonts w:ascii="宋体" w:eastAsia="宋体" w:hAnsi="宋体" w:asciiTheme="minorEastAsia" w:eastAsiaTheme="minorEastAsia" w:hAnsiTheme="minorEastAsia" w:cs="Arial" w:cstheme="minorEastAsia" w:hint="eastAsia"/>
                <w:b/>
                <w:bCs/>
                <w:sz w:val="18"/>
                <w:szCs w:val="18"/>
              </w:rPr>
              <w:t xml:space="preserve">00</w:t>
            </w:r>
          </w:p>
        </w:tc>
        <w:tc>
          <w:tcPr>
            <w:tcW w:w="2161"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b/>
                <w:bCs/>
                <w:sz w:val="18"/>
                <w:szCs w:val="18"/>
                <w:lang w:val="en-US" w:eastAsia="en-US" w:bidi="en-US"/>
              </w:rPr>
              <w:t xml:space="preserve">0.</w:t>
            </w:r>
            <w:r>
              <w:rPr>
                <w:rFonts w:ascii="宋体" w:eastAsia="宋体" w:hAnsi="宋体" w:asciiTheme="minorEastAsia" w:eastAsiaTheme="minorEastAsia" w:hAnsiTheme="minorEastAsia" w:cs="Arial" w:cstheme="minorEastAsia" w:hint="eastAsia"/>
                <w:b/>
                <w:bCs/>
                <w:sz w:val="18"/>
                <w:szCs w:val="18"/>
              </w:rPr>
              <w:t xml:space="preserve">00</w:t>
            </w:r>
          </w:p>
        </w:tc>
        <w:tc>
          <w:tcPr>
            <w:tcW w:w="2163" w:type="dxa"/>
            <w:vAlign w:val="center"/>
          </w:tcPr>
          <w:p>
            <w:pPr>
              <w:pStyle w:val="Other|1"/>
              <w:spacing w:line="240" w:lineRule="auto"/>
              <w:ind w:firstLine="0" w:firstLineChars="0"/>
              <w:jc w:val="right"/>
              <w:rPr>
                <w:rFonts w:ascii="宋体" w:eastAsia="宋体" w:hAnsi="宋体" w:asciiTheme="minorEastAsia" w:eastAsiaTheme="minorEastAsia" w:hAnsiTheme="minorEastAsia" w:cs="Arial" w:cstheme="minorEastAsia" w:hint="eastAsia"/>
                <w:sz w:val="18"/>
                <w:szCs w:val="18"/>
                <w:vertAlign w:val="baseline"/>
              </w:rPr>
            </w:pPr>
            <w:r>
              <w:rPr>
                <w:rFonts w:ascii="宋体" w:eastAsia="宋体" w:hAnsi="宋体" w:asciiTheme="minorEastAsia" w:eastAsiaTheme="minorEastAsia" w:hAnsiTheme="minorEastAsia" w:cs="Arial" w:cstheme="minorEastAsia" w:hint="eastAsia"/>
                <w:b/>
                <w:bCs/>
                <w:sz w:val="18"/>
                <w:szCs w:val="18"/>
                <w:lang w:val="en-US" w:eastAsia="en-US" w:bidi="en-US"/>
              </w:rPr>
              <w:t xml:space="preserve">0.</w:t>
            </w:r>
            <w:r>
              <w:rPr>
                <w:rFonts w:ascii="宋体" w:eastAsia="宋体" w:hAnsi="宋体" w:asciiTheme="minorEastAsia" w:eastAsiaTheme="minorEastAsia" w:hAnsiTheme="minorEastAsia" w:cs="Arial" w:cstheme="minorEastAsia" w:hint="eastAsia"/>
                <w:b/>
                <w:bCs/>
                <w:sz w:val="18"/>
                <w:szCs w:val="18"/>
              </w:rPr>
              <w:t xml:space="preserve">00</w:t>
            </w:r>
          </w:p>
        </w:tc>
      </w:tr>
      <w:tr>
        <w:tblPrEx>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cantSplit/>
        </w:trPr>
        <w:tc>
          <w:tcPr>
            <w:tcW w:w="15557" w:type="dxa"/>
            <w:gridSpan w:val="7"/>
            <w:tcBorders>
              <w:left w:val="nil"/>
              <w:bottom w:val="nil"/>
              <w:right w:val="nil"/>
            </w:tcBorders>
          </w:tcPr>
          <w:p>
            <w:pPr>
              <w:pStyle w:val="Tablecaption|1"/>
              <w:spacing w:line="302" w:lineRule="exact"/>
              <w:jc w:val="left"/>
              <w:rPr>
                <w:rFonts w:ascii="宋体" w:eastAsia="宋体" w:hAnsi="宋体" w:asciiTheme="minorEastAsia" w:eastAsiaTheme="minorEastAsia" w:hAnsiTheme="minorEastAsia" w:cs="Arial" w:cstheme="minorEastAsia" w:hint="eastAsia"/>
                <w:b w:val="0"/>
                <w:bCs w:val="0"/>
                <w:sz w:val="18"/>
                <w:szCs w:val="18"/>
              </w:rPr>
            </w:pPr>
            <w:r>
              <w:rPr>
                <w:rFonts w:ascii="宋体" w:eastAsia="宋体" w:hAnsi="宋体" w:asciiTheme="minorEastAsia" w:eastAsiaTheme="minorEastAsia" w:hAnsiTheme="minorEastAsia" w:cs="Arial" w:cstheme="minorEastAsia" w:hint="eastAsia"/>
                <w:b w:val="0"/>
                <w:bCs w:val="0"/>
                <w:sz w:val="18"/>
                <w:szCs w:val="18"/>
              </w:rPr>
              <w:t xml:space="preserve">注：本报表金额单位转换时可能存在四舍五入尾数误差。本部门</w:t>
            </w:r>
            <w:r>
              <w:rPr>
                <w:rFonts w:ascii="宋体" w:eastAsia="宋体" w:hAnsi="宋体" w:asciiTheme="minorEastAsia" w:eastAsiaTheme="minorEastAsia" w:hAnsiTheme="minorEastAsia" w:cs="Arial" w:cstheme="minorEastAsia" w:hint="eastAsia"/>
                <w:b w:val="0"/>
                <w:bCs w:val="0"/>
                <w:sz w:val="18"/>
                <w:szCs w:val="18"/>
                <w:lang w:eastAsia="zh-CN"/>
              </w:rPr>
              <w:t xml:space="preserve">2024</w:t>
            </w:r>
            <w:r>
              <w:rPr>
                <w:sz w:val="18"/>
                <w:u w:color="auto"/>
              </w:rPr>
              <w:t xml:space="preserve">年</w:t>
            </w:r>
            <w:r>
              <w:rPr>
                <w:rFonts w:ascii="宋体" w:eastAsia="宋体" w:hAnsi="宋体" w:asciiTheme="minorEastAsia" w:eastAsiaTheme="minorEastAsia" w:hAnsiTheme="minorEastAsia" w:cs="Arial" w:cstheme="minorEastAsia" w:hint="eastAsia"/>
                <w:b w:val="0"/>
                <w:bCs w:val="0"/>
                <w:sz w:val="18"/>
                <w:szCs w:val="18"/>
              </w:rPr>
              <w:t xml:space="preserve">度没有国有资本经营预算支出，故本表无数据</w:t>
            </w:r>
          </w:p>
          <w:p>
            <w:pPr>
              <w:pStyle w:val="Tablecaption|1"/>
              <w:bidi w:val="0"/>
              <w:jc w:val="both"/>
              <w:rPr>
                <w:rFonts w:ascii="宋体" w:eastAsia="宋体" w:hAnsi="宋体" w:asciiTheme="minorEastAsia" w:eastAsiaTheme="minorEastAsia" w:hAnsiTheme="minorEastAsia" w:cs="Arial" w:cstheme="minorEastAsia" w:hint="eastAsia"/>
                <w:sz w:val="18"/>
                <w:szCs w:val="18"/>
                <w:vertAlign w:val="baseline"/>
              </w:rPr>
            </w:pPr>
          </w:p>
        </w:tc>
      </w:tr>
    </w:tbl>
    <w:p>
      <w:pPr>
        <w:pStyle w:val="Tablecaption|1"/>
        <w:bidi w:val="0"/>
        <w:rPr>
          <w:rFonts w:ascii="宋体" w:eastAsia="宋体" w:hAnsi="宋体" w:asciiTheme="minorEastAsia" w:eastAsiaTheme="minorEastAsia" w:hAnsiTheme="minorEastAsia" w:cs="Arial" w:cstheme="minorEastAsia" w:hint="eastAsia"/>
          <w:sz w:val="32"/>
          <w:szCs w:val="32"/>
        </w:rPr>
      </w:pPr>
    </w:p>
    <w:p>
      <w:pPr>
        <w:rPr>
          <w:rFonts w:ascii="宋体" w:eastAsia="宋体" w:hAnsi="宋体" w:asciiTheme="minorEastAsia" w:eastAsiaTheme="minorEastAsia" w:hAnsiTheme="minorEastAsia" w:cs="Arial" w:cstheme="minorEastAsia" w:hint="eastAsia"/>
          <w:sz w:val="32"/>
          <w:szCs w:val="32"/>
        </w:rPr>
      </w:pPr>
      <w:r>
        <w:br w:type="page"/>
      </w:r>
    </w:p>
    <w:p>
      <w:pPr>
        <w:pStyle w:val="Heading#2|1"/>
        <w:keepNext/>
        <w:keepLines/>
        <w:spacing w:after="240"/>
        <w:jc w:val="center"/>
        <w:rPr>
          <w:rFonts w:ascii="宋体" w:eastAsia="宋体" w:hAnsi="宋体" w:asciiTheme="minorEastAsia" w:eastAsiaTheme="minorEastAsia" w:hAnsiTheme="minorEastAsia" w:cs="Arial" w:cstheme="minorEastAsia" w:hint="eastAsia"/>
          <w:sz w:val="32"/>
          <w:szCs w:val="32"/>
          <w:lang w:val="en-US" w:eastAsia="zh-CN"/>
        </w:rPr>
      </w:pPr>
      <w:r>
        <w:rPr>
          <w:rFonts w:ascii="宋体" w:eastAsia="宋体" w:hAnsi="宋体" w:asciiTheme="minorEastAsia" w:eastAsiaTheme="minorEastAsia" w:hAnsiTheme="minorEastAsia" w:cs="Arial" w:cstheme="minorEastAsia" w:hint="eastAsia"/>
          <w:sz w:val="32"/>
          <w:szCs w:val="32"/>
          <w:lang w:val="en-US" w:eastAsia="zh-CN"/>
        </w:rPr>
        <w:t xml:space="preserve">2024年度预算项目绩效目标公开表</w:t>
      </w:r>
    </w:p>
    <w:tbl>
      <w:tblPr>
        <w:tblStyle w:val="TableNormal"/>
        <w:tblW w:w="5000" w:type="pct"/>
        <w:tblInd w:w="0" w:type="dxa"/>
        <w:tblLayout w:type="fixed"/>
        <w:tblCellMar>
          <w:top w:w="0" w:type="dxa"/>
          <w:left w:w="10" w:type="dxa"/>
          <w:bottom w:w="0" w:type="dxa"/>
          <w:right w:w="10" w:type="dxa"/>
        </w:tblCellMar>
        <w:tblLook w:firstRow="0" w:lastRow="0" w:firstColumn="0" w:lastColumn="0" w:noHBand="1" w:noVBand="1"/>
      </w:tblPr>
      <w:tblGrid>
        <w:gridCol w:w="1845"/>
        <w:gridCol w:w="2563"/>
        <w:gridCol w:w="3355"/>
        <w:gridCol w:w="1513"/>
        <w:gridCol w:w="6085"/>
      </w:tblGrid>
      <w:tr>
        <w:trPr>
          <w:cantSplit/>
          <w:trHeight w:hRule="exact" w:val="430"/>
        </w:trPr>
        <w:tc>
          <w:tcPr>
            <w:tcW w:w="9263" w:type="dxa"/>
            <w:gridSpan w:val="4"/>
            <w:shd w:val="clear" w:color="auto" w:fill="FFFFFF"/>
            <w:vAlign w:val="bottom"/>
          </w:tcPr>
          <w:p>
            <w:pPr>
              <w:pStyle w:val="Other|1"/>
              <w:spacing w:line="240" w:lineRule="auto"/>
              <w:ind w:firstLine="0"/>
              <w:jc w:val="left"/>
              <w:rPr>
                <w:rFonts w:ascii="宋体" w:eastAsia="宋体" w:hAnsi="宋体" w:asciiTheme="minorEastAsia" w:eastAsiaTheme="minorEastAsia" w:hAnsiTheme="minorEastAsia" w:cs="Arial" w:cstheme="minorEastAsia" w:hint="eastAsia"/>
                <w:sz w:val="18"/>
                <w:szCs w:val="18"/>
                <w:lang w:val="en-US"/>
              </w:rPr>
            </w:pPr>
            <w:r>
              <w:rPr>
                <w:rFonts w:ascii="宋体" w:eastAsia="宋体" w:hAnsi="宋体" w:asciiTheme="minorEastAsia" w:eastAsiaTheme="minorEastAsia" w:hAnsiTheme="minorEastAsia" w:cs="Arial" w:cstheme="minorEastAsia" w:hint="eastAsia"/>
                <w:sz w:val="18"/>
                <w:szCs w:val="18"/>
              </w:rPr>
              <w:t xml:space="preserve">单位名称：</w:t>
            </w:r>
            <w:r>
              <w:rPr>
                <w:rFonts w:ascii="宋体" w:eastAsia="宋体" w:hAnsi="宋体" w:asciiTheme="minorEastAsia" w:eastAsiaTheme="minorEastAsia" w:hAnsiTheme="minorEastAsia" w:cs="Arial" w:cstheme="minorEastAsia" w:hint="eastAsia"/>
                <w:sz w:val="18"/>
                <w:szCs w:val="18"/>
                <w:lang w:eastAsia="zh-CN"/>
              </w:rPr>
              <w:t xml:space="preserve">河池市纤维检验所</w:t>
            </w:r>
          </w:p>
        </w:tc>
        <w:tc>
          <w:tcPr>
            <w:tcW w:w="6076" w:type="dxa"/>
            <w:shd w:val="clear" w:color="auto" w:fill="FFFFFF"/>
            <w:vAlign w:val="bottom"/>
          </w:tcPr>
          <w:p>
            <w:pPr>
              <w:pStyle w:val="Tablecaption|1"/>
              <w:bidi w:val="0"/>
              <w:jc w:val="right"/>
              <w:rPr>
                <w:rFonts w:ascii="宋体" w:eastAsia="宋体" w:hAnsi="宋体" w:asciiTheme="minorEastAsia" w:eastAsiaTheme="minorEastAsia" w:hAnsiTheme="minorEastAsia" w:cs="Arial" w:cstheme="minorEastAsia" w:hint="eastAsia"/>
                <w:sz w:val="18"/>
                <w:szCs w:val="18"/>
                <w:lang w:val="en-US"/>
              </w:rPr>
            </w:pPr>
            <w:r>
              <w:rPr>
                <w:rFonts w:ascii="宋体" w:eastAsia="宋体" w:hAnsi="宋体" w:asciiTheme="minorEastAsia" w:eastAsiaTheme="minorEastAsia" w:hAnsiTheme="minorEastAsia" w:cs="Arial" w:cstheme="minorEastAsia" w:hint="eastAsia"/>
                <w:sz w:val="18"/>
                <w:szCs w:val="18"/>
                <w:lang w:val="en-US" w:eastAsia="zh-CN"/>
              </w:rPr>
              <w:t xml:space="preserve">表10</w:t>
            </w:r>
          </w:p>
          <w:p>
            <w:pPr>
              <w:pStyle w:val="Heading#2|1"/>
              <w:keepNext/>
              <w:keepLines/>
              <w:spacing w:after="240"/>
              <w:jc w:val="right"/>
              <w:rPr>
                <w:rFonts w:ascii="宋体" w:eastAsia="宋体" w:hAnsi="宋体" w:asciiTheme="minorEastAsia" w:eastAsiaTheme="minorEastAsia" w:hAnsiTheme="minorEastAsia" w:cs="Arial" w:cstheme="minorEastAsia" w:hint="eastAsia"/>
                <w:sz w:val="18"/>
                <w:szCs w:val="18"/>
              </w:rPr>
            </w:pPr>
            <w:r>
              <w:rPr>
                <w:rFonts w:ascii="宋体" w:eastAsia="宋体" w:hAnsi="宋体" w:asciiTheme="minorEastAsia" w:eastAsiaTheme="minorEastAsia" w:hAnsiTheme="minorEastAsia" w:cs="Arial" w:cstheme="minorEastAsia" w:hint="eastAsia"/>
                <w:sz w:val="18"/>
                <w:szCs w:val="18"/>
              </w:rPr>
              <w:t xml:space="preserve">单位：万元</w:t>
            </w:r>
          </w:p>
        </w:tc>
      </w:tr>
      <w:tr>
        <w:tblPrEx>
          <w:tblW w:w="5000" w:type="pct"/>
          <w:tblInd w:w="0" w:type="dxa"/>
          <w:tblLayout w:type="fixed"/>
          <w:tblCellMar>
            <w:top w:w="0" w:type="dxa"/>
            <w:left w:w="10" w:type="dxa"/>
            <w:bottom w:w="0" w:type="dxa"/>
            <w:right w:w="10" w:type="dxa"/>
          </w:tblCellMar>
        </w:tblPrEx>
        <w:trPr>
          <w:cantSplit/>
          <w:trHeight w:hRule="exact" w:val="854"/>
        </w:trPr>
        <w:tc>
          <w:tcPr>
            <w:tcW w:w="1843" w:type="dxa"/>
            <w:tcBorders>
              <w:top w:val="single" w:sz="4" w:space="0" w:color="auto"/>
              <w:left w:val="single" w:sz="4" w:space="0" w:color="auto"/>
              <w:bottom w:val="single" w:sz="4" w:space="0" w:color="auto"/>
            </w:tcBorders>
            <w:shd w:val="clear" w:color="auto" w:fill="FFFFFF"/>
            <w:vAlign w:val="center"/>
          </w:tcPr>
          <w:p>
            <w:pPr>
              <w:pStyle w:val="Other|1"/>
              <w:spacing w:line="240" w:lineRule="auto"/>
              <w:ind w:firstLine="0"/>
              <w:jc w:val="center"/>
              <w:rPr>
                <w:rFonts w:ascii="宋体" w:eastAsia="宋体" w:hAnsi="宋体" w:asciiTheme="minorEastAsia" w:eastAsiaTheme="minorEastAsia" w:hAnsiTheme="minorEastAsia" w:cs="Arial" w:cstheme="minorEastAsia" w:hint="eastAsia"/>
                <w:sz w:val="18"/>
                <w:szCs w:val="18"/>
                <w:lang w:val="en-US" w:eastAsia="zh-CN"/>
              </w:rPr>
            </w:pPr>
            <w:r>
              <w:rPr>
                <w:sz w:val="18"/>
                <w:u w:color="auto"/>
              </w:rPr>
              <w:t xml:space="preserve">单位代码</w:t>
            </w:r>
          </w:p>
        </w:tc>
        <w:tc>
          <w:tcPr>
            <w:tcW w:w="2559" w:type="dxa"/>
            <w:tcBorders>
              <w:top w:val="single" w:sz="4" w:space="0" w:color="auto"/>
              <w:left w:val="single" w:sz="4" w:space="0" w:color="auto"/>
              <w:bottom w:val="single" w:sz="4" w:space="0" w:color="auto"/>
            </w:tcBorders>
            <w:shd w:val="clear" w:color="auto" w:fill="FFFFFF"/>
            <w:vAlign w:val="center"/>
          </w:tcPr>
          <w:p>
            <w:pPr>
              <w:pStyle w:val="Other|1"/>
              <w:spacing w:line="240" w:lineRule="auto"/>
              <w:ind w:firstLine="240"/>
              <w:jc w:val="center"/>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单位名称</w:t>
            </w:r>
          </w:p>
        </w:tc>
        <w:tc>
          <w:tcPr>
            <w:tcW w:w="3350" w:type="dxa"/>
            <w:tcBorders>
              <w:top w:val="single" w:sz="4" w:space="0" w:color="auto"/>
              <w:left w:val="single" w:sz="4" w:space="0" w:color="auto"/>
              <w:bottom w:val="single" w:sz="4" w:space="0" w:color="auto"/>
            </w:tcBorders>
            <w:shd w:val="clear" w:color="auto" w:fill="FFFFFF"/>
            <w:vAlign w:val="center"/>
          </w:tcPr>
          <w:p>
            <w:pPr>
              <w:pStyle w:val="Other|1"/>
              <w:spacing w:line="240" w:lineRule="auto"/>
              <w:ind w:firstLine="0"/>
              <w:jc w:val="center"/>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项目名称</w:t>
            </w:r>
          </w:p>
        </w:tc>
        <w:tc>
          <w:tcPr>
            <w:tcW w:w="1511" w:type="dxa"/>
            <w:tcBorders>
              <w:top w:val="single" w:sz="4" w:space="0" w:color="auto"/>
              <w:left w:val="single" w:sz="4" w:space="0" w:color="auto"/>
              <w:bottom w:val="single" w:sz="4" w:space="0" w:color="auto"/>
            </w:tcBorders>
            <w:shd w:val="clear" w:color="auto" w:fill="FFFFFF"/>
            <w:vAlign w:val="center"/>
          </w:tcPr>
          <w:p>
            <w:pPr>
              <w:pStyle w:val="Other|1"/>
              <w:spacing w:line="240" w:lineRule="auto"/>
              <w:ind w:firstLine="0"/>
              <w:jc w:val="center"/>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预算金额</w:t>
            </w:r>
          </w:p>
        </w:tc>
        <w:tc>
          <w:tcPr>
            <w:tcW w:w="6076"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center"/>
              <w:rPr>
                <w:rFonts w:ascii="宋体" w:eastAsia="宋体" w:hAnsi="宋体" w:asciiTheme="minorEastAsia" w:eastAsiaTheme="minorEastAsia" w:hAnsiTheme="minorEastAsia" w:cs="Arial" w:cstheme="minorEastAsia" w:hint="eastAsia"/>
                <w:sz w:val="18"/>
                <w:szCs w:val="18"/>
                <w:lang w:val="en-US" w:eastAsia="zh-CN"/>
              </w:rPr>
            </w:pPr>
            <w:r>
              <w:rPr>
                <w:rFonts w:ascii="宋体" w:eastAsia="宋体" w:hAnsi="宋体" w:asciiTheme="minorEastAsia" w:eastAsiaTheme="minorEastAsia" w:hAnsiTheme="minorEastAsia" w:cs="Arial" w:cstheme="minorEastAsia" w:hint="eastAsia"/>
                <w:sz w:val="18"/>
                <w:szCs w:val="18"/>
                <w:lang w:val="en-US" w:eastAsia="zh-CN"/>
              </w:rPr>
              <w:t xml:space="preserve">年度绩效目标</w:t>
            </w:r>
          </w:p>
        </w:tc>
      </w:tr>
      <w:tr>
        <w:tblPrEx>
          <w:tblW w:w="5000" w:type="pct"/>
          <w:tblInd w:w="0" w:type="dxa"/>
          <w:tblLayout w:type="fixed"/>
          <w:tblCellMar>
            <w:top w:w="0" w:type="dxa"/>
            <w:left w:w="10" w:type="dxa"/>
            <w:bottom w:w="0" w:type="dxa"/>
            <w:right w:w="10" w:type="dxa"/>
          </w:tblCellMar>
        </w:tblPrEx>
        <w:trPr>
          <w:cantSplit/>
          <w:trHeight w:val="0"/>
        </w:trPr>
        <w:tc>
          <w:tcPr>
            <w:tcW w:w="1843"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127005</w:t>
            </w:r>
          </w:p>
        </w:tc>
        <w:tc>
          <w:tcPr>
            <w:tcW w:w="2559" w:type="dxa"/>
            <w:tcBorders>
              <w:top w:val="single" w:sz="4" w:space="0" w:color="auto"/>
              <w:left w:val="single" w:sz="4" w:space="0" w:color="auto"/>
              <w:bottom w:val="single" w:sz="4" w:space="0" w:color="auto"/>
              <w:right w:val="single" w:sz="4" w:space="0" w:color="auto"/>
            </w:tcBorders>
            <w:shd w:val="clear" w:color="auto" w:fill="FFFFFF"/>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河池市纤维检验所</w:t>
            </w:r>
          </w:p>
        </w:tc>
        <w:tc>
          <w:tcPr>
            <w:tcW w:w="3350"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产品质量监督抽查经费</w:t>
            </w:r>
          </w:p>
        </w:tc>
        <w:tc>
          <w:tcPr>
            <w:tcW w:w="1511"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lef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10.00</w:t>
            </w:r>
          </w:p>
        </w:tc>
        <w:tc>
          <w:tcPr>
            <w:tcW w:w="6076" w:type="dxa"/>
            <w:tcBorders>
              <w:top w:val="single" w:sz="4" w:space="0" w:color="auto"/>
              <w:left w:val="single" w:sz="4" w:space="0" w:color="auto"/>
              <w:bottom w:val="single" w:sz="4" w:space="0" w:color="auto"/>
              <w:right w:val="single" w:sz="4" w:space="0" w:color="auto"/>
            </w:tcBorders>
            <w:shd w:val="clear" w:color="auto" w:fill="FFFFFF"/>
            <w:vAlign w:val="center"/>
          </w:tcPr>
          <w:p>
            <w:pPr>
              <w:pStyle w:val="Other|1"/>
              <w:spacing w:line="240" w:lineRule="auto"/>
              <w:ind w:firstLine="0"/>
              <w:jc w:val="right"/>
              <w:rPr>
                <w:rFonts w:ascii="宋体" w:eastAsia="宋体" w:hAnsi="宋体" w:asciiTheme="minorEastAsia" w:eastAsiaTheme="minorEastAsia" w:hAnsiTheme="minorEastAsia" w:cs="Arial" w:cstheme="minorEastAsia" w:hint="eastAsia"/>
                <w:b w:val="0"/>
                <w:bCs w:val="0"/>
                <w:sz w:val="18"/>
                <w:szCs w:val="18"/>
                <w:lang w:val="en-US" w:eastAsia="zh-CN"/>
              </w:rPr>
            </w:pPr>
            <w:r>
              <w:rPr>
                <w:rFonts w:ascii="宋体" w:eastAsia="宋体" w:hAnsi="宋体" w:asciiTheme="minorEastAsia" w:eastAsiaTheme="minorEastAsia" w:hAnsiTheme="minorEastAsia" w:cs="Arial" w:cstheme="minorEastAsia" w:hint="eastAsia"/>
                <w:b w:val="0"/>
                <w:bCs w:val="0"/>
                <w:sz w:val="18"/>
                <w:szCs w:val="18"/>
                <w:lang w:val="en-US" w:eastAsia="zh-CN"/>
              </w:rPr>
              <w:t xml:space="preserve">完成河池市市场监督管理局下达的干茧（鲜茧）、生丝产品质量监督抽查抽样工作及检验工作任务，完成区域内工业产品及生产企业产品质量监督检验抽样及检验工作任务，提高产品质量水平。拓展茧丝绸及其制品的检验业务，努力具备茧丝绸、蚕丝被等产品的检验能力。</w:t>
            </w:r>
          </w:p>
        </w:tc>
      </w:tr>
    </w:tbl>
    <w:p>
      <w:pPr>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18"/>
          <w:szCs w:val="18"/>
        </w:rPr>
        <w:t xml:space="preserve">注：本报表</w:t>
      </w:r>
      <w:r>
        <w:rPr>
          <w:rFonts w:ascii="宋体" w:eastAsia="宋体" w:hAnsi="宋体" w:asciiTheme="minorEastAsia" w:eastAsiaTheme="minorEastAsia" w:hAnsiTheme="minorEastAsia" w:cs="Arial" w:cstheme="minorEastAsia" w:hint="eastAsia"/>
          <w:sz w:val="18"/>
          <w:szCs w:val="18"/>
          <w:lang w:val="en-US" w:eastAsia="zh-CN"/>
        </w:rPr>
        <w:t xml:space="preserve">不包含不宜公开的项目，</w:t>
      </w:r>
      <w:r>
        <w:rPr>
          <w:rFonts w:ascii="宋体" w:eastAsia="宋体" w:hAnsi="宋体" w:asciiTheme="minorEastAsia" w:eastAsiaTheme="minorEastAsia" w:hAnsiTheme="minorEastAsia" w:cs="Arial" w:cstheme="minorEastAsia" w:hint="eastAsia"/>
          <w:sz w:val="18"/>
          <w:szCs w:val="18"/>
        </w:rPr>
        <w:t xml:space="preserve">金额单位转换时可能存在四舍五入尾数误差</w:t>
      </w:r>
      <w:r>
        <w:rPr>
          <w:rFonts w:ascii="宋体" w:eastAsia="宋体" w:hAnsi="宋体" w:asciiTheme="minorEastAsia" w:eastAsiaTheme="minorEastAsia" w:hAnsiTheme="minorEastAsia" w:cs="Arial" w:cstheme="minorEastAsia" w:hint="eastAsia"/>
          <w:sz w:val="32"/>
          <w:szCs w:val="32"/>
        </w:rPr>
        <w:t xml:space="preserve">。</w:t>
      </w:r>
    </w:p>
    <w:p>
      <w:pPr>
        <w:jc w:val="left"/>
        <w:rPr>
          <w:rFonts w:ascii="宋体" w:eastAsia="宋体" w:hAnsi="宋体" w:asciiTheme="minorEastAsia" w:eastAsiaTheme="minorEastAsia" w:hAnsiTheme="minorEastAsia" w:cs="Arial" w:cstheme="minorEastAsia" w:hint="eastAsia"/>
          <w:sz w:val="32"/>
          <w:szCs w:val="32"/>
          <w:lang w:eastAsia="zh-CN"/>
        </w:rPr>
        <w:sectPr>
          <w:headerReference w:type="default" r:id="rId20"/>
          <w:footerReference w:type="default" r:id="rId21"/>
          <w:pgSz w:w="16840" w:h="11900" w:orient="landscape"/>
          <w:pgMar w:top="2714" w:right="764" w:bottom="2714" w:left="735" w:header="2286" w:footer="1474" w:gutter="0"/>
          <w:pgBorders>
            <w:top w:val="none" w:sz="0" w:space="0" w:color="auto"/>
            <w:left w:val="none" w:sz="0" w:space="0" w:color="auto"/>
            <w:bottom w:val="none" w:sz="0" w:space="0" w:color="auto"/>
            <w:right w:val="none" w:sz="0" w:space="0" w:color="auto"/>
          </w:pgBorders>
          <w:pgNumType w:fmt="decimal"/>
          <w:cols w:num="1" w:space="720">
            <w:col w:w="15341" w:space="720"/>
          </w:cols>
          <w:docGrid w:linePitch="360" w:charSpace="0"/>
        </w:sectPr>
      </w:pPr>
    </w:p>
    <w:p>
      <w:pPr>
        <w:pStyle w:val="Heading#1|1"/>
        <w:keepNext/>
        <w:keepLines/>
        <w:spacing w:before="200" w:after="0"/>
        <w:jc w:val="center"/>
        <w:rPr>
          <w:rFonts w:ascii="黑体" w:eastAsia="黑体" w:hAnsi="黑体" w:cs="黑体" w:hint="eastAsia"/>
          <w:sz w:val="32"/>
          <w:szCs w:val="32"/>
        </w:rPr>
      </w:pPr>
      <w:bookmarkStart w:id="28" w:name="bookmark96"/>
      <w:bookmarkStart w:id="29" w:name="bookmark94"/>
      <w:bookmarkStart w:id="30" w:name="bookmark95"/>
      <w:r>
        <w:rPr>
          <w:rFonts w:ascii="黑体" w:eastAsia="黑体" w:hAnsi="黑体" w:cs="黑体" w:hint="eastAsia"/>
          <w:sz w:val="32"/>
          <w:szCs w:val="32"/>
        </w:rPr>
        <w:t xml:space="preserve">第四部</w:t>
      </w:r>
      <w:r>
        <w:rPr>
          <w:rFonts w:ascii="黑体" w:eastAsia="黑体" w:hAnsi="黑体" w:cs="黑体" w:hint="eastAsia"/>
          <w:sz w:val="32"/>
          <w:szCs w:val="32"/>
        </w:rPr>
        <w:t xml:space="preserve">分名词解释</w:t>
      </w:r>
      <w:bookmarkEnd w:id="28"/>
      <w:bookmarkEnd w:id="29"/>
      <w:bookmarkEnd w:id="30"/>
    </w:p>
    <w:p>
      <w:pPr>
        <w:pStyle w:val="Bodytext|1"/>
        <w:tabs>
          <w:tab w:val="left" w:pos="1270"/>
        </w:tabs>
        <w:spacing w:line="626" w:lineRule="exact"/>
        <w:ind w:firstLine="640"/>
        <w:jc w:val="left"/>
        <w:rPr>
          <w:rFonts w:ascii="宋体" w:eastAsia="宋体" w:hAnsi="宋体" w:asciiTheme="minorEastAsia" w:eastAsiaTheme="minorEastAsia" w:hAnsiTheme="minorEastAsia" w:cs="Arial" w:cstheme="minorEastAsia" w:hint="eastAsia"/>
          <w:sz w:val="32"/>
          <w:szCs w:val="32"/>
        </w:rPr>
      </w:pPr>
      <w:bookmarkStart w:id="31" w:name="bookmark97"/>
      <w:r>
        <w:rPr>
          <w:rFonts w:ascii="宋体" w:eastAsia="宋体" w:hAnsi="宋体" w:asciiTheme="minorEastAsia" w:eastAsiaTheme="minorEastAsia" w:hAnsiTheme="minorEastAsia" w:cs="Arial" w:cstheme="minorEastAsia" w:hint="eastAsia"/>
          <w:sz w:val="32"/>
          <w:szCs w:val="32"/>
        </w:rPr>
        <w:t xml:space="preserve">一</w:t>
      </w:r>
      <w:bookmarkEnd w:id="31"/>
      <w:r>
        <w:rPr>
          <w:rFonts w:ascii="宋体" w:eastAsia="宋体" w:hAnsi="宋体" w:asciiTheme="minorEastAsia" w:eastAsiaTheme="minorEastAsia" w:hAnsiTheme="minorEastAsia" w:cs="Arial" w:cstheme="minorEastAsia" w:hint="eastAsia"/>
          <w:sz w:val="32"/>
          <w:szCs w:val="32"/>
        </w:rPr>
        <w:t xml:space="preserve">、</w:t>
      </w:r>
      <w:r>
        <w:rPr>
          <w:rFonts w:ascii="宋体" w:eastAsia="宋体" w:hAnsi="宋体" w:asciiTheme="minorEastAsia" w:eastAsiaTheme="minorEastAsia" w:hAnsiTheme="minorEastAsia" w:cs="Arial" w:cstheme="minorEastAsia" w:hint="eastAsia"/>
          <w:sz w:val="32"/>
          <w:szCs w:val="32"/>
        </w:rPr>
        <w:tab/>
      </w:r>
      <w:r>
        <w:rPr>
          <w:rFonts w:ascii="宋体" w:eastAsia="宋体" w:hAnsi="宋体" w:asciiTheme="minorEastAsia" w:eastAsiaTheme="minorEastAsia" w:hAnsiTheme="minorEastAsia" w:cs="Arial" w:cstheme="minorEastAsia" w:hint="eastAsia"/>
          <w:sz w:val="32"/>
          <w:szCs w:val="32"/>
        </w:rPr>
        <w:t xml:space="preserve">财政拨款收入：指预算单位从本级财政部门取得的财政预算资金收入。</w:t>
      </w:r>
    </w:p>
    <w:p>
      <w:pPr>
        <w:pStyle w:val="Bodytext|1"/>
        <w:tabs>
          <w:tab w:val="left" w:pos="1280"/>
        </w:tabs>
        <w:spacing w:line="626" w:lineRule="exact"/>
        <w:ind w:firstLine="640"/>
        <w:jc w:val="left"/>
        <w:rPr>
          <w:rFonts w:ascii="宋体" w:eastAsia="宋体" w:hAnsi="宋体" w:asciiTheme="minorEastAsia" w:eastAsiaTheme="minorEastAsia" w:hAnsiTheme="minorEastAsia" w:cs="Arial" w:cstheme="minorEastAsia" w:hint="eastAsia"/>
          <w:sz w:val="32"/>
          <w:szCs w:val="32"/>
        </w:rPr>
      </w:pPr>
      <w:bookmarkStart w:id="32" w:name="bookmark98"/>
      <w:r>
        <w:rPr>
          <w:rFonts w:ascii="宋体" w:eastAsia="宋体" w:hAnsi="宋体" w:asciiTheme="minorEastAsia" w:eastAsiaTheme="minorEastAsia" w:hAnsiTheme="minorEastAsia" w:cs="Arial" w:cstheme="minorEastAsia" w:hint="eastAsia"/>
          <w:sz w:val="32"/>
          <w:szCs w:val="32"/>
        </w:rPr>
        <w:t xml:space="preserve">二</w:t>
      </w:r>
      <w:bookmarkEnd w:id="32"/>
      <w:r>
        <w:rPr>
          <w:rFonts w:ascii="宋体" w:eastAsia="宋体" w:hAnsi="宋体" w:asciiTheme="minorEastAsia" w:eastAsiaTheme="minorEastAsia" w:hAnsiTheme="minorEastAsia" w:cs="Arial" w:cstheme="minorEastAsia" w:hint="eastAsia"/>
          <w:sz w:val="32"/>
          <w:szCs w:val="32"/>
        </w:rPr>
        <w:t xml:space="preserve">、</w:t>
      </w:r>
      <w:r>
        <w:rPr>
          <w:rFonts w:ascii="宋体" w:eastAsia="宋体" w:hAnsi="宋体" w:asciiTheme="minorEastAsia" w:eastAsiaTheme="minorEastAsia" w:hAnsiTheme="minorEastAsia" w:cs="Arial" w:cstheme="minorEastAsia" w:hint="eastAsia"/>
          <w:sz w:val="32"/>
          <w:szCs w:val="32"/>
        </w:rPr>
        <w:tab/>
      </w:r>
      <w:r>
        <w:rPr>
          <w:rFonts w:ascii="宋体" w:eastAsia="宋体" w:hAnsi="宋体" w:asciiTheme="minorEastAsia" w:eastAsiaTheme="minorEastAsia" w:hAnsiTheme="minorEastAsia" w:cs="Arial" w:cstheme="minorEastAsia" w:hint="eastAsia"/>
          <w:sz w:val="32"/>
          <w:szCs w:val="32"/>
        </w:rPr>
        <w:t xml:space="preserve">事业收入：指事业单位开展专业业务活动及辅助活动所取得的收入。</w:t>
      </w:r>
    </w:p>
    <w:p>
      <w:pPr>
        <w:pStyle w:val="Bodytext|1"/>
        <w:tabs>
          <w:tab w:val="left" w:pos="1275"/>
        </w:tabs>
        <w:spacing w:line="626" w:lineRule="exact"/>
        <w:ind w:firstLine="640"/>
        <w:jc w:val="left"/>
        <w:rPr>
          <w:rFonts w:ascii="宋体" w:eastAsia="宋体" w:hAnsi="宋体" w:asciiTheme="minorEastAsia" w:eastAsiaTheme="minorEastAsia" w:hAnsiTheme="minorEastAsia" w:cs="Arial" w:cstheme="minorEastAsia" w:hint="eastAsia"/>
          <w:sz w:val="32"/>
          <w:szCs w:val="32"/>
        </w:rPr>
      </w:pPr>
      <w:bookmarkStart w:id="33" w:name="bookmark99"/>
      <w:r>
        <w:rPr>
          <w:rFonts w:ascii="宋体" w:eastAsia="宋体" w:hAnsi="宋体" w:asciiTheme="minorEastAsia" w:eastAsiaTheme="minorEastAsia" w:hAnsiTheme="minorEastAsia" w:cs="Arial" w:cstheme="minorEastAsia" w:hint="eastAsia"/>
          <w:sz w:val="32"/>
          <w:szCs w:val="32"/>
        </w:rPr>
        <w:t xml:space="preserve">三</w:t>
      </w:r>
      <w:bookmarkEnd w:id="33"/>
      <w:r>
        <w:rPr>
          <w:rFonts w:ascii="宋体" w:eastAsia="宋体" w:hAnsi="宋体" w:asciiTheme="minorEastAsia" w:eastAsiaTheme="minorEastAsia" w:hAnsiTheme="minorEastAsia" w:cs="Arial" w:cstheme="minorEastAsia" w:hint="eastAsia"/>
          <w:sz w:val="32"/>
          <w:szCs w:val="32"/>
        </w:rPr>
        <w:t xml:space="preserve">、</w:t>
      </w:r>
      <w:r>
        <w:rPr>
          <w:rFonts w:ascii="宋体" w:eastAsia="宋体" w:hAnsi="宋体" w:asciiTheme="minorEastAsia" w:eastAsiaTheme="minorEastAsia" w:hAnsiTheme="minorEastAsia" w:cs="Arial" w:cstheme="minorEastAsia" w:hint="eastAsia"/>
          <w:sz w:val="32"/>
          <w:szCs w:val="32"/>
        </w:rPr>
        <w:tab/>
      </w:r>
      <w:r>
        <w:rPr>
          <w:rFonts w:ascii="宋体" w:eastAsia="宋体" w:hAnsi="宋体" w:asciiTheme="minorEastAsia" w:eastAsiaTheme="minorEastAsia" w:hAnsiTheme="minorEastAsia" w:cs="Arial" w:cstheme="minorEastAsia" w:hint="eastAsia"/>
          <w:sz w:val="32"/>
          <w:szCs w:val="32"/>
        </w:rPr>
        <w:t xml:space="preserve">经营收入：指事业单位在专业业务活动及其辅助活动之外开展非独立核算经营活动取得的收入。</w:t>
      </w:r>
    </w:p>
    <w:p>
      <w:pPr>
        <w:pStyle w:val="Bodytext|1"/>
        <w:tabs>
          <w:tab w:val="left" w:pos="1309"/>
        </w:tabs>
        <w:spacing w:line="626" w:lineRule="exact"/>
        <w:ind w:firstLine="640"/>
        <w:jc w:val="left"/>
        <w:rPr>
          <w:rFonts w:ascii="宋体" w:eastAsia="宋体" w:hAnsi="宋体" w:asciiTheme="minorEastAsia" w:eastAsiaTheme="minorEastAsia" w:hAnsiTheme="minorEastAsia" w:cs="Arial" w:cstheme="minorEastAsia" w:hint="eastAsia"/>
          <w:sz w:val="32"/>
          <w:szCs w:val="32"/>
        </w:rPr>
      </w:pPr>
      <w:bookmarkStart w:id="34" w:name="bookmark100"/>
      <w:r>
        <w:rPr>
          <w:rFonts w:ascii="宋体" w:eastAsia="宋体" w:hAnsi="宋体" w:asciiTheme="minorEastAsia" w:eastAsiaTheme="minorEastAsia" w:hAnsiTheme="minorEastAsia" w:cs="Arial" w:cstheme="minorEastAsia" w:hint="eastAsia"/>
          <w:sz w:val="32"/>
          <w:szCs w:val="32"/>
        </w:rPr>
        <w:t xml:space="preserve">四</w:t>
      </w:r>
      <w:bookmarkEnd w:id="34"/>
      <w:r>
        <w:rPr>
          <w:rFonts w:ascii="宋体" w:eastAsia="宋体" w:hAnsi="宋体" w:asciiTheme="minorEastAsia" w:eastAsiaTheme="minorEastAsia" w:hAnsiTheme="minorEastAsia" w:cs="Arial" w:cstheme="minorEastAsia" w:hint="eastAsia"/>
          <w:sz w:val="32"/>
          <w:szCs w:val="32"/>
        </w:rPr>
        <w:t xml:space="preserve">、</w:t>
      </w:r>
      <w:r>
        <w:rPr>
          <w:rFonts w:ascii="宋体" w:eastAsia="宋体" w:hAnsi="宋体" w:asciiTheme="minorEastAsia" w:eastAsiaTheme="minorEastAsia" w:hAnsiTheme="minorEastAsia" w:cs="Arial" w:cstheme="minorEastAsia" w:hint="eastAsia"/>
          <w:sz w:val="32"/>
          <w:szCs w:val="32"/>
        </w:rPr>
        <w:tab/>
      </w:r>
      <w:r>
        <w:rPr>
          <w:rFonts w:ascii="宋体" w:eastAsia="宋体" w:hAnsi="宋体" w:asciiTheme="minorEastAsia" w:eastAsiaTheme="minorEastAsia" w:hAnsiTheme="minorEastAsia" w:cs="Arial" w:cstheme="minorEastAsia" w:hint="eastAsia"/>
          <w:sz w:val="32"/>
          <w:szCs w:val="32"/>
        </w:rPr>
        <w:t xml:space="preserve">其他收入：指除上述</w:t>
      </w:r>
      <w:r>
        <w:rPr>
          <w:rFonts w:ascii="宋体" w:eastAsia="宋体" w:hAnsi="宋体" w:asciiTheme="minorEastAsia" w:eastAsiaTheme="minorEastAsia" w:hAnsiTheme="minorEastAsia" w:cs="Arial" w:cstheme="minorEastAsia" w:hint="eastAsia"/>
          <w:sz w:val="32"/>
          <w:szCs w:val="32"/>
          <w:lang w:val="zh-CN" w:eastAsia="zh-CN" w:bidi="zh-CN"/>
        </w:rPr>
        <w:t xml:space="preserve">“财</w:t>
      </w:r>
      <w:r>
        <w:rPr>
          <w:rFonts w:ascii="宋体" w:eastAsia="宋体" w:hAnsi="宋体" w:asciiTheme="minorEastAsia" w:eastAsiaTheme="minorEastAsia" w:hAnsiTheme="minorEastAsia" w:cs="Arial" w:cstheme="minorEastAsia" w:hint="eastAsia"/>
          <w:sz w:val="32"/>
          <w:szCs w:val="32"/>
        </w:rPr>
        <w:t xml:space="preserve">政拨款收入”、</w:t>
      </w:r>
      <w:r>
        <w:rPr>
          <w:rFonts w:ascii="宋体" w:eastAsia="宋体" w:hAnsi="宋体" w:asciiTheme="minorEastAsia" w:eastAsiaTheme="minorEastAsia" w:hAnsiTheme="minorEastAsia" w:cs="Arial" w:cstheme="minorEastAsia" w:hint="eastAsia"/>
          <w:sz w:val="32"/>
          <w:szCs w:val="32"/>
          <w:lang w:val="zh-CN" w:eastAsia="zh-CN" w:bidi="zh-CN"/>
        </w:rPr>
        <w:t xml:space="preserve">“事</w:t>
      </w:r>
      <w:r>
        <w:rPr>
          <w:rFonts w:ascii="宋体" w:eastAsia="宋体" w:hAnsi="宋体" w:asciiTheme="minorEastAsia" w:eastAsiaTheme="minorEastAsia" w:hAnsiTheme="minorEastAsia" w:cs="Arial" w:cstheme="minorEastAsia" w:hint="eastAsia"/>
          <w:sz w:val="32"/>
          <w:szCs w:val="32"/>
        </w:rPr>
        <w:t xml:space="preserve">业收入</w:t>
      </w:r>
      <w:r>
        <w:rPr>
          <w:rFonts w:ascii="宋体" w:eastAsia="宋体" w:hAnsi="宋体" w:asciiTheme="minorEastAsia" w:eastAsiaTheme="minorEastAsia" w:hAnsiTheme="minorEastAsia" w:cs="Arial" w:cstheme="minorEastAsia" w:hint="eastAsia"/>
          <w:sz w:val="32"/>
          <w:szCs w:val="32"/>
          <w:lang w:eastAsia="zh-CN"/>
        </w:rPr>
        <w:t xml:space="preserve">”</w:t>
      </w:r>
      <w:r>
        <w:rPr>
          <w:rFonts w:ascii="宋体" w:eastAsia="宋体" w:hAnsi="宋体" w:asciiTheme="minorEastAsia" w:eastAsiaTheme="minorEastAsia" w:hAnsiTheme="minorEastAsia" w:cs="Arial" w:cstheme="minorEastAsia" w:hint="eastAsia"/>
          <w:sz w:val="32"/>
          <w:szCs w:val="32"/>
        </w:rPr>
        <w:t xml:space="preserve">、</w:t>
      </w:r>
      <w:r>
        <w:rPr>
          <w:rFonts w:ascii="宋体" w:eastAsia="宋体" w:hAnsi="宋体" w:asciiTheme="minorEastAsia" w:eastAsiaTheme="minorEastAsia" w:hAnsiTheme="minorEastAsia" w:cs="Arial" w:cstheme="minorEastAsia" w:hint="eastAsia"/>
          <w:sz w:val="32"/>
          <w:szCs w:val="32"/>
          <w:lang w:val="zh-CN" w:eastAsia="zh-CN" w:bidi="zh-CN"/>
        </w:rPr>
        <w:t xml:space="preserve">“经营</w:t>
      </w:r>
      <w:r>
        <w:rPr>
          <w:rFonts w:ascii="宋体" w:eastAsia="宋体" w:hAnsi="宋体" w:asciiTheme="minorEastAsia" w:eastAsiaTheme="minorEastAsia" w:hAnsiTheme="minorEastAsia" w:cs="Arial" w:cstheme="minorEastAsia" w:hint="eastAsia"/>
          <w:sz w:val="32"/>
          <w:szCs w:val="32"/>
        </w:rPr>
        <w:t xml:space="preserve">收入</w:t>
      </w:r>
      <w:r>
        <w:rPr>
          <w:rFonts w:ascii="宋体" w:eastAsia="宋体" w:hAnsi="宋体" w:asciiTheme="minorEastAsia" w:eastAsiaTheme="minorEastAsia" w:hAnsiTheme="minorEastAsia" w:cs="Arial" w:cstheme="minorEastAsia" w:hint="eastAsia"/>
          <w:sz w:val="32"/>
          <w:szCs w:val="32"/>
          <w:lang w:eastAsia="zh-CN"/>
        </w:rPr>
        <w:t xml:space="preserve">”</w:t>
      </w:r>
      <w:r>
        <w:rPr>
          <w:rFonts w:ascii="宋体" w:eastAsia="宋体" w:hAnsi="宋体" w:asciiTheme="minorEastAsia" w:eastAsiaTheme="minorEastAsia" w:hAnsiTheme="minorEastAsia" w:cs="Arial" w:cstheme="minorEastAsia" w:hint="eastAsia"/>
          <w:sz w:val="32"/>
          <w:szCs w:val="32"/>
        </w:rPr>
        <w:t xml:space="preserve">等以外的收入。主要是非本级财政拨款、存款利息收入、事业单位固定资产出租收入等。</w:t>
      </w:r>
    </w:p>
    <w:p>
      <w:pPr>
        <w:pStyle w:val="Bodytext|1"/>
        <w:tabs>
          <w:tab w:val="left" w:pos="1275"/>
        </w:tabs>
        <w:spacing w:line="626" w:lineRule="exact"/>
        <w:ind w:firstLine="640"/>
        <w:jc w:val="left"/>
        <w:rPr>
          <w:rFonts w:ascii="宋体" w:eastAsia="宋体" w:hAnsi="宋体" w:asciiTheme="minorEastAsia" w:eastAsiaTheme="minorEastAsia" w:hAnsiTheme="minorEastAsia" w:cs="Arial" w:cstheme="minorEastAsia" w:hint="eastAsia"/>
          <w:sz w:val="32"/>
          <w:szCs w:val="32"/>
        </w:rPr>
      </w:pPr>
      <w:bookmarkStart w:id="35" w:name="bookmark101"/>
      <w:r>
        <w:rPr>
          <w:rFonts w:ascii="宋体" w:eastAsia="宋体" w:hAnsi="宋体" w:asciiTheme="minorEastAsia" w:eastAsiaTheme="minorEastAsia" w:hAnsiTheme="minorEastAsia" w:cs="Arial" w:cstheme="minorEastAsia" w:hint="eastAsia"/>
          <w:sz w:val="32"/>
          <w:szCs w:val="32"/>
        </w:rPr>
        <w:t xml:space="preserve">五</w:t>
      </w:r>
      <w:bookmarkEnd w:id="35"/>
      <w:r>
        <w:rPr>
          <w:rFonts w:ascii="宋体" w:eastAsia="宋体" w:hAnsi="宋体" w:asciiTheme="minorEastAsia" w:eastAsiaTheme="minorEastAsia" w:hAnsiTheme="minorEastAsia" w:cs="Arial" w:cstheme="minorEastAsia" w:hint="eastAsia"/>
          <w:sz w:val="32"/>
          <w:szCs w:val="32"/>
        </w:rPr>
        <w:t xml:space="preserve">、</w:t>
      </w:r>
      <w:r>
        <w:rPr>
          <w:rFonts w:ascii="宋体" w:eastAsia="宋体" w:hAnsi="宋体" w:asciiTheme="minorEastAsia" w:eastAsiaTheme="minorEastAsia" w:hAnsiTheme="minorEastAsia" w:cs="Arial" w:cstheme="minorEastAsia" w:hint="eastAsia"/>
          <w:sz w:val="32"/>
          <w:szCs w:val="32"/>
        </w:rPr>
        <w:tab/>
      </w:r>
      <w:r>
        <w:rPr>
          <w:rFonts w:ascii="宋体" w:eastAsia="宋体" w:hAnsi="宋体" w:asciiTheme="minorEastAsia" w:eastAsiaTheme="minorEastAsia" w:hAnsiTheme="minorEastAsia" w:cs="Arial" w:cstheme="minorEastAsia" w:hint="eastAsia"/>
          <w:sz w:val="32"/>
          <w:szCs w:val="32"/>
        </w:rPr>
        <w:t xml:space="preserve">用事业基金弥补收支差额：指事业单位在用当年的</w:t>
      </w:r>
      <w:r>
        <w:rPr>
          <w:rFonts w:ascii="宋体" w:eastAsia="宋体" w:hAnsi="宋体" w:asciiTheme="minorEastAsia" w:eastAsiaTheme="minorEastAsia" w:hAnsiTheme="minorEastAsia" w:cs="Arial" w:cstheme="minorEastAsia" w:hint="eastAsia"/>
          <w:sz w:val="32"/>
          <w:szCs w:val="32"/>
          <w:lang w:val="zh-CN" w:eastAsia="zh-CN" w:bidi="zh-CN"/>
        </w:rPr>
        <w:t xml:space="preserve">“财</w:t>
      </w:r>
      <w:r>
        <w:rPr>
          <w:rFonts w:ascii="宋体" w:eastAsia="宋体" w:hAnsi="宋体" w:asciiTheme="minorEastAsia" w:eastAsiaTheme="minorEastAsia" w:hAnsiTheme="minorEastAsia" w:cs="Arial" w:cstheme="minorEastAsia" w:hint="eastAsia"/>
          <w:sz w:val="32"/>
          <w:szCs w:val="32"/>
        </w:rPr>
        <w:t xml:space="preserve">政拨款收入</w:t>
      </w:r>
      <w:r>
        <w:rPr>
          <w:rFonts w:ascii="宋体" w:eastAsia="宋体" w:hAnsi="宋体" w:asciiTheme="minorEastAsia" w:eastAsiaTheme="minorEastAsia" w:hAnsiTheme="minorEastAsia" w:cs="Arial" w:cstheme="minorEastAsia" w:hint="eastAsia"/>
          <w:sz w:val="32"/>
          <w:szCs w:val="32"/>
          <w:lang w:eastAsia="zh-CN"/>
        </w:rPr>
        <w:t xml:space="preserve">”</w:t>
      </w:r>
      <w:r>
        <w:rPr>
          <w:rFonts w:ascii="宋体" w:eastAsia="宋体" w:hAnsi="宋体" w:asciiTheme="minorEastAsia" w:eastAsiaTheme="minorEastAsia" w:hAnsiTheme="minorEastAsia" w:cs="Arial" w:cstheme="minorEastAsia" w:hint="eastAsia"/>
          <w:sz w:val="32"/>
          <w:szCs w:val="32"/>
        </w:rPr>
        <w:t xml:space="preserve">、</w:t>
      </w:r>
      <w:r>
        <w:rPr>
          <w:rFonts w:ascii="宋体" w:eastAsia="宋体" w:hAnsi="宋体" w:asciiTheme="minorEastAsia" w:eastAsiaTheme="minorEastAsia" w:hAnsiTheme="minorEastAsia" w:cs="Arial" w:cstheme="minorEastAsia" w:hint="eastAsia"/>
          <w:sz w:val="32"/>
          <w:szCs w:val="32"/>
          <w:lang w:val="zh-CN" w:eastAsia="zh-CN" w:bidi="zh-CN"/>
        </w:rPr>
        <w:t xml:space="preserve">“事业</w:t>
      </w:r>
      <w:r>
        <w:rPr>
          <w:rFonts w:ascii="宋体" w:eastAsia="宋体" w:hAnsi="宋体" w:asciiTheme="minorEastAsia" w:eastAsiaTheme="minorEastAsia" w:hAnsiTheme="minorEastAsia" w:cs="Arial" w:cstheme="minorEastAsia" w:hint="eastAsia"/>
          <w:sz w:val="32"/>
          <w:szCs w:val="32"/>
        </w:rPr>
        <w:t xml:space="preserve">收入</w:t>
      </w:r>
      <w:r>
        <w:rPr>
          <w:rFonts w:ascii="宋体" w:eastAsia="宋体" w:hAnsi="宋体" w:asciiTheme="minorEastAsia" w:eastAsiaTheme="minorEastAsia" w:hAnsiTheme="minorEastAsia" w:cs="Arial" w:cstheme="minorEastAsia" w:hint="eastAsia"/>
          <w:sz w:val="32"/>
          <w:szCs w:val="32"/>
          <w:lang w:eastAsia="zh-CN"/>
        </w:rPr>
        <w:t xml:space="preserve">”</w:t>
      </w:r>
      <w:r>
        <w:rPr>
          <w:rFonts w:ascii="宋体" w:eastAsia="宋体" w:hAnsi="宋体" w:asciiTheme="minorEastAsia" w:eastAsiaTheme="minorEastAsia" w:hAnsiTheme="minorEastAsia" w:cs="Arial" w:cstheme="minorEastAsia" w:hint="eastAsia"/>
          <w:sz w:val="32"/>
          <w:szCs w:val="32"/>
        </w:rPr>
        <w:t xml:space="preserve">、</w:t>
      </w:r>
      <w:r>
        <w:rPr>
          <w:rFonts w:ascii="宋体" w:eastAsia="宋体" w:hAnsi="宋体" w:asciiTheme="minorEastAsia" w:eastAsiaTheme="minorEastAsia" w:hAnsiTheme="minorEastAsia" w:cs="Arial" w:cstheme="minorEastAsia" w:hint="eastAsia"/>
          <w:sz w:val="32"/>
          <w:szCs w:val="32"/>
          <w:lang w:val="zh-CN" w:eastAsia="zh-CN" w:bidi="zh-CN"/>
        </w:rPr>
        <w:t xml:space="preserve">“经营</w:t>
      </w:r>
      <w:r>
        <w:rPr>
          <w:rFonts w:ascii="宋体" w:eastAsia="宋体" w:hAnsi="宋体" w:asciiTheme="minorEastAsia" w:eastAsiaTheme="minorEastAsia" w:hAnsiTheme="minorEastAsia" w:cs="Arial" w:cstheme="minorEastAsia" w:hint="eastAsia"/>
          <w:sz w:val="32"/>
          <w:szCs w:val="32"/>
        </w:rPr>
        <w:t xml:space="preserve">收入</w:t>
      </w:r>
      <w:r>
        <w:rPr>
          <w:rFonts w:ascii="宋体" w:eastAsia="宋体" w:hAnsi="宋体" w:asciiTheme="minorEastAsia" w:eastAsiaTheme="minorEastAsia" w:hAnsiTheme="minorEastAsia" w:cs="Arial" w:cstheme="minorEastAsia" w:hint="eastAsia"/>
          <w:sz w:val="32"/>
          <w:szCs w:val="32"/>
          <w:lang w:eastAsia="zh-CN"/>
        </w:rPr>
        <w:t xml:space="preserve">”</w:t>
      </w:r>
      <w:r>
        <w:rPr>
          <w:rFonts w:ascii="宋体" w:eastAsia="宋体" w:hAnsi="宋体" w:asciiTheme="minorEastAsia" w:eastAsiaTheme="minorEastAsia" w:hAnsiTheme="minorEastAsia" w:cs="Arial" w:cstheme="minorEastAsia" w:hint="eastAsia"/>
          <w:sz w:val="32"/>
          <w:szCs w:val="32"/>
        </w:rPr>
        <w:t xml:space="preserve">、</w:t>
      </w:r>
      <w:r>
        <w:rPr>
          <w:rFonts w:ascii="宋体" w:eastAsia="宋体" w:hAnsi="宋体" w:asciiTheme="minorEastAsia" w:eastAsiaTheme="minorEastAsia" w:hAnsiTheme="minorEastAsia" w:cs="Arial" w:cstheme="minorEastAsia" w:hint="eastAsia"/>
          <w:sz w:val="32"/>
          <w:szCs w:val="32"/>
          <w:lang w:val="zh-CN" w:eastAsia="zh-CN" w:bidi="zh-CN"/>
        </w:rPr>
        <w:t xml:space="preserve">“其他</w:t>
      </w:r>
      <w:r>
        <w:rPr>
          <w:rFonts w:ascii="宋体" w:eastAsia="宋体" w:hAnsi="宋体" w:asciiTheme="minorEastAsia" w:eastAsiaTheme="minorEastAsia" w:hAnsiTheme="minorEastAsia" w:cs="Arial" w:cstheme="minorEastAsia" w:hint="eastAsia"/>
          <w:sz w:val="32"/>
          <w:szCs w:val="32"/>
        </w:rPr>
        <w:t xml:space="preserve">收入</w:t>
      </w:r>
      <w:r>
        <w:rPr>
          <w:rFonts w:ascii="宋体" w:eastAsia="宋体" w:hAnsi="宋体" w:asciiTheme="minorEastAsia" w:eastAsiaTheme="minorEastAsia" w:hAnsiTheme="minorEastAsia" w:cs="Arial" w:cstheme="minorEastAsia" w:hint="eastAsia"/>
          <w:sz w:val="32"/>
          <w:szCs w:val="32"/>
          <w:lang w:eastAsia="zh-CN"/>
        </w:rPr>
        <w:t xml:space="preserve">”</w:t>
      </w:r>
      <w:r>
        <w:rPr>
          <w:rFonts w:ascii="宋体" w:eastAsia="宋体" w:hAnsi="宋体" w:asciiTheme="minorEastAsia" w:eastAsiaTheme="minorEastAsia" w:hAnsiTheme="minorEastAsia" w:cs="Arial" w:cstheme="minorEastAsia" w:hint="eastAsia"/>
          <w:sz w:val="32"/>
          <w:szCs w:val="32"/>
        </w:rPr>
        <w:t xml:space="preserve">不足以安排当年支出的情况下，使用以前年度积累的事业基金（事业单位当年收支相抵后按国家规定提取、用于弥补以后年度收支差额的基金）弥补本年度收支缺口的资金。</w:t>
      </w:r>
    </w:p>
    <w:p>
      <w:pPr>
        <w:pStyle w:val="Bodytext|1"/>
        <w:tabs>
          <w:tab w:val="left" w:pos="1270"/>
        </w:tabs>
        <w:spacing w:line="626" w:lineRule="exact"/>
        <w:ind w:firstLine="640"/>
        <w:jc w:val="left"/>
        <w:rPr>
          <w:rFonts w:ascii="宋体" w:eastAsia="宋体" w:hAnsi="宋体" w:asciiTheme="minorEastAsia" w:eastAsiaTheme="minorEastAsia" w:hAnsiTheme="minorEastAsia" w:cs="Arial" w:cstheme="minorEastAsia" w:hint="eastAsia"/>
          <w:sz w:val="32"/>
          <w:szCs w:val="32"/>
        </w:rPr>
      </w:pPr>
      <w:bookmarkStart w:id="36" w:name="bookmark102"/>
      <w:r>
        <w:rPr>
          <w:rFonts w:ascii="宋体" w:eastAsia="宋体" w:hAnsi="宋体" w:asciiTheme="minorEastAsia" w:eastAsiaTheme="minorEastAsia" w:hAnsiTheme="minorEastAsia" w:cs="Arial" w:cstheme="minorEastAsia" w:hint="eastAsia"/>
          <w:sz w:val="32"/>
          <w:szCs w:val="32"/>
        </w:rPr>
        <w:t xml:space="preserve">六</w:t>
      </w:r>
      <w:bookmarkEnd w:id="36"/>
      <w:r>
        <w:rPr>
          <w:rFonts w:ascii="宋体" w:eastAsia="宋体" w:hAnsi="宋体" w:asciiTheme="minorEastAsia" w:eastAsiaTheme="minorEastAsia" w:hAnsiTheme="minorEastAsia" w:cs="Arial" w:cstheme="minorEastAsia" w:hint="eastAsia"/>
          <w:sz w:val="32"/>
          <w:szCs w:val="32"/>
        </w:rPr>
        <w:t xml:space="preserve">、</w:t>
      </w:r>
      <w:r>
        <w:rPr>
          <w:rFonts w:ascii="宋体" w:eastAsia="宋体" w:hAnsi="宋体" w:asciiTheme="minorEastAsia" w:eastAsiaTheme="minorEastAsia" w:hAnsiTheme="minorEastAsia" w:cs="Arial" w:cstheme="minorEastAsia" w:hint="eastAsia"/>
          <w:sz w:val="32"/>
          <w:szCs w:val="32"/>
        </w:rPr>
        <w:tab/>
      </w:r>
      <w:r>
        <w:rPr>
          <w:rFonts w:ascii="宋体" w:eastAsia="宋体" w:hAnsi="宋体" w:asciiTheme="minorEastAsia" w:eastAsiaTheme="minorEastAsia" w:hAnsiTheme="minorEastAsia" w:cs="Arial" w:cstheme="minorEastAsia" w:hint="eastAsia"/>
          <w:sz w:val="32"/>
          <w:szCs w:val="32"/>
        </w:rPr>
        <w:t xml:space="preserve">年初结转和结余：指以前年度尚未完成、结转到本年按有关规定继续使用的资金。</w:t>
      </w:r>
    </w:p>
    <w:p>
      <w:pPr>
        <w:pStyle w:val="Bodytext|1"/>
        <w:tabs>
          <w:tab w:val="left" w:pos="1275"/>
        </w:tabs>
        <w:spacing w:line="626" w:lineRule="exact"/>
        <w:ind w:firstLine="640"/>
        <w:jc w:val="left"/>
        <w:rPr>
          <w:rFonts w:ascii="宋体" w:eastAsia="宋体" w:hAnsi="宋体" w:asciiTheme="minorEastAsia" w:eastAsiaTheme="minorEastAsia" w:hAnsiTheme="minorEastAsia" w:cs="Arial" w:cstheme="minorEastAsia" w:hint="eastAsia"/>
          <w:sz w:val="32"/>
          <w:szCs w:val="32"/>
        </w:rPr>
      </w:pPr>
      <w:bookmarkStart w:id="37" w:name="bookmark103"/>
      <w:r>
        <w:rPr>
          <w:rFonts w:ascii="宋体" w:eastAsia="宋体" w:hAnsi="宋体" w:asciiTheme="minorEastAsia" w:eastAsiaTheme="minorEastAsia" w:hAnsiTheme="minorEastAsia" w:cs="Arial" w:cstheme="minorEastAsia" w:hint="eastAsia"/>
          <w:sz w:val="32"/>
          <w:szCs w:val="32"/>
        </w:rPr>
        <w:t xml:space="preserve">七</w:t>
      </w:r>
      <w:bookmarkEnd w:id="37"/>
      <w:r>
        <w:rPr>
          <w:rFonts w:ascii="宋体" w:eastAsia="宋体" w:hAnsi="宋体" w:asciiTheme="minorEastAsia" w:eastAsiaTheme="minorEastAsia" w:hAnsiTheme="minorEastAsia" w:cs="Arial" w:cstheme="minorEastAsia" w:hint="eastAsia"/>
          <w:sz w:val="32"/>
          <w:szCs w:val="32"/>
        </w:rPr>
        <w:t xml:space="preserve">、</w:t>
      </w:r>
      <w:r>
        <w:rPr>
          <w:rFonts w:ascii="宋体" w:eastAsia="宋体" w:hAnsi="宋体" w:asciiTheme="minorEastAsia" w:eastAsiaTheme="minorEastAsia" w:hAnsiTheme="minorEastAsia" w:cs="Arial" w:cstheme="minorEastAsia" w:hint="eastAsia"/>
          <w:sz w:val="32"/>
          <w:szCs w:val="32"/>
        </w:rPr>
        <w:tab/>
      </w:r>
      <w:r>
        <w:rPr>
          <w:rFonts w:ascii="宋体" w:eastAsia="宋体" w:hAnsi="宋体" w:asciiTheme="minorEastAsia" w:eastAsiaTheme="minorEastAsia" w:hAnsiTheme="minorEastAsia" w:cs="Arial" w:cstheme="minorEastAsia" w:hint="eastAsia"/>
          <w:sz w:val="32"/>
          <w:szCs w:val="32"/>
        </w:rPr>
        <w:t xml:space="preserve">结余分配：指事业单位按规定提取的职工福利基金、事业基金和缴纳的所得税，以及建设单位按规定应交回的基本建设竣工项目结余资金。</w:t>
      </w:r>
    </w:p>
    <w:p>
      <w:pPr>
        <w:pStyle w:val="Bodytext|1"/>
        <w:tabs>
          <w:tab w:val="left" w:pos="632"/>
        </w:tabs>
        <w:spacing w:line="626" w:lineRule="exact"/>
        <w:ind w:firstLine="640"/>
        <w:jc w:val="left"/>
        <w:rPr>
          <w:rFonts w:ascii="宋体" w:eastAsia="宋体" w:hAnsi="宋体" w:asciiTheme="minorEastAsia" w:eastAsiaTheme="minorEastAsia" w:hAnsiTheme="minorEastAsia" w:cs="Arial" w:cstheme="minorEastAsia" w:hint="eastAsia"/>
          <w:sz w:val="32"/>
          <w:szCs w:val="32"/>
        </w:rPr>
      </w:pPr>
      <w:bookmarkStart w:id="38" w:name="bookmark104"/>
      <w:r>
        <w:rPr>
          <w:rFonts w:ascii="宋体" w:eastAsia="宋体" w:hAnsi="宋体" w:asciiTheme="minorEastAsia" w:eastAsiaTheme="minorEastAsia" w:hAnsiTheme="minorEastAsia" w:cs="Arial" w:cstheme="minorEastAsia" w:hint="eastAsia"/>
          <w:sz w:val="32"/>
          <w:szCs w:val="32"/>
        </w:rPr>
        <w:t xml:space="preserve">八</w:t>
      </w:r>
      <w:bookmarkEnd w:id="38"/>
      <w:r>
        <w:rPr>
          <w:rFonts w:ascii="宋体" w:eastAsia="宋体" w:hAnsi="宋体" w:asciiTheme="minorEastAsia" w:eastAsiaTheme="minorEastAsia" w:hAnsiTheme="minorEastAsia" w:cs="Arial" w:cstheme="minorEastAsia" w:hint="eastAsia"/>
          <w:sz w:val="32"/>
          <w:szCs w:val="32"/>
        </w:rPr>
        <w:t xml:space="preserve">、</w:t>
      </w:r>
      <w:r>
        <w:rPr>
          <w:rFonts w:ascii="宋体" w:eastAsia="宋体" w:hAnsi="宋体" w:asciiTheme="minorEastAsia" w:eastAsiaTheme="minorEastAsia" w:hAnsiTheme="minorEastAsia" w:cs="Arial" w:cstheme="minorEastAsia" w:hint="eastAsia"/>
          <w:sz w:val="32"/>
          <w:szCs w:val="32"/>
        </w:rPr>
        <w:tab/>
      </w:r>
      <w:r>
        <w:rPr>
          <w:rFonts w:ascii="宋体" w:eastAsia="宋体" w:hAnsi="宋体" w:asciiTheme="minorEastAsia" w:eastAsiaTheme="minorEastAsia" w:hAnsiTheme="minorEastAsia" w:cs="Arial" w:cstheme="minorEastAsia" w:hint="eastAsia"/>
          <w:sz w:val="32"/>
          <w:szCs w:val="32"/>
        </w:rPr>
        <w:t xml:space="preserve">年末结转和结余：指本年度或以前年度预算安排、因客观条件发生变化无法按原计划实施，需要延迟到以后年度按有关规定继续使用的资金。</w:t>
      </w:r>
    </w:p>
    <w:p>
      <w:pPr>
        <w:pStyle w:val="Bodytext|1"/>
        <w:spacing w:line="628" w:lineRule="exact"/>
        <w:ind w:firstLine="640"/>
        <w:jc w:val="left"/>
        <w:rPr>
          <w:rFonts w:ascii="宋体" w:eastAsia="宋体" w:hAnsi="宋体" w:asciiTheme="minorEastAsia" w:eastAsiaTheme="minorEastAsia" w:hAnsiTheme="minorEastAsia" w:cs="Arial" w:cstheme="minorEastAsia" w:hint="eastAsia"/>
          <w:sz w:val="32"/>
          <w:szCs w:val="32"/>
        </w:rPr>
      </w:pPr>
      <w:bookmarkStart w:id="39" w:name="bookmark105"/>
      <w:r>
        <w:rPr>
          <w:rFonts w:ascii="宋体" w:eastAsia="宋体" w:hAnsi="宋体" w:asciiTheme="minorEastAsia" w:eastAsiaTheme="minorEastAsia" w:hAnsiTheme="minorEastAsia" w:cs="Arial" w:cstheme="minorEastAsia" w:hint="eastAsia"/>
          <w:sz w:val="32"/>
          <w:szCs w:val="32"/>
        </w:rPr>
        <w:t xml:space="preserve">九</w:t>
      </w:r>
      <w:bookmarkEnd w:id="39"/>
      <w:r>
        <w:rPr>
          <w:rFonts w:ascii="宋体" w:eastAsia="宋体" w:hAnsi="宋体" w:asciiTheme="minorEastAsia" w:eastAsiaTheme="minorEastAsia" w:hAnsiTheme="minorEastAsia" w:cs="Arial" w:cstheme="minorEastAsia" w:hint="eastAsia"/>
          <w:sz w:val="32"/>
          <w:szCs w:val="32"/>
        </w:rPr>
        <w:t xml:space="preserve">、基本支出：指为保障机构正常运转、完成日常工作任务而发生的人员支出和公用支出。</w:t>
      </w:r>
    </w:p>
    <w:p>
      <w:pPr>
        <w:pStyle w:val="Bodytext|1"/>
        <w:spacing w:line="628" w:lineRule="exact"/>
        <w:ind w:firstLine="640"/>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十、项目支出：指在基本支出之外为完成特定行政任务和事业发展目标所发生的支出。</w:t>
      </w:r>
    </w:p>
    <w:p>
      <w:pPr>
        <w:pStyle w:val="Bodytext|1"/>
        <w:spacing w:line="628" w:lineRule="exact"/>
        <w:ind w:firstLine="640"/>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十一、经营支出：指事业单位在专业业务活动及其辅助活动之外开展非独立核算经营活动所发生的支出。</w:t>
      </w:r>
    </w:p>
    <w:p>
      <w:pPr>
        <w:pStyle w:val="Bodytext|1"/>
        <w:spacing w:line="628" w:lineRule="exact"/>
        <w:ind w:firstLine="640"/>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十二、</w:t>
      </w:r>
      <w:r>
        <w:rPr>
          <w:rFonts w:ascii="宋体" w:eastAsia="宋体" w:hAnsi="宋体" w:asciiTheme="minorEastAsia" w:eastAsiaTheme="minorEastAsia" w:hAnsiTheme="minorEastAsia" w:cs="Arial" w:cstheme="minorEastAsia" w:hint="eastAsia"/>
          <w:sz w:val="32"/>
          <w:szCs w:val="32"/>
          <w:lang w:val="zh-CN" w:eastAsia="zh-CN" w:bidi="zh-CN"/>
        </w:rPr>
        <w:t xml:space="preserve">“三</w:t>
      </w:r>
      <w:r>
        <w:rPr>
          <w:rFonts w:ascii="宋体" w:eastAsia="宋体" w:hAnsi="宋体" w:asciiTheme="minorEastAsia" w:eastAsiaTheme="minorEastAsia" w:hAnsiTheme="minorEastAsia" w:cs="Arial" w:cstheme="minorEastAsia" w:hint="eastAsia"/>
          <w:sz w:val="32"/>
          <w:szCs w:val="32"/>
        </w:rPr>
        <w:t xml:space="preserve">公”经费：纳入财政预决算管理的</w:t>
      </w:r>
      <w:r>
        <w:rPr>
          <w:rFonts w:ascii="宋体" w:eastAsia="宋体" w:hAnsi="宋体" w:asciiTheme="minorEastAsia" w:eastAsiaTheme="minorEastAsia" w:hAnsiTheme="minorEastAsia" w:cs="Arial" w:cstheme="minorEastAsia" w:hint="eastAsia"/>
          <w:sz w:val="32"/>
          <w:szCs w:val="32"/>
          <w:lang w:val="zh-CN" w:eastAsia="zh-CN" w:bidi="zh-CN"/>
        </w:rPr>
        <w:t xml:space="preserve">“三公</w:t>
      </w:r>
      <w:r>
        <w:rPr>
          <w:rFonts w:ascii="宋体" w:eastAsia="宋体" w:hAnsi="宋体" w:asciiTheme="minorEastAsia" w:eastAsiaTheme="minorEastAsia" w:hAnsiTheme="minorEastAsia" w:cs="Arial" w:cstheme="minorEastAsia" w:hint="eastAsia"/>
          <w:sz w:val="32"/>
          <w:szCs w:val="32"/>
        </w:rPr>
        <w:t xml:space="preserve">”经费，是指本级各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pStyle w:val="Bodytext|1"/>
        <w:spacing w:line="628" w:lineRule="exact"/>
        <w:ind w:firstLine="640"/>
        <w:jc w:val="left"/>
        <w:rPr>
          <w:rFonts w:ascii="宋体" w:eastAsia="宋体" w:hAnsi="宋体" w:asciiTheme="minorEastAsia" w:eastAsiaTheme="minorEastAsia" w:hAnsiTheme="minorEastAsia" w:cs="Arial" w:cstheme="minorEastAsia" w:hint="eastAsia"/>
          <w:sz w:val="32"/>
          <w:szCs w:val="32"/>
        </w:rPr>
      </w:pPr>
      <w:r>
        <w:rPr>
          <w:rFonts w:ascii="宋体" w:eastAsia="宋体" w:hAnsi="宋体" w:asciiTheme="minorEastAsia" w:eastAsiaTheme="minorEastAsia" w:hAnsiTheme="minorEastAsia" w:cs="Arial" w:cstheme="minorEastAsia" w:hint="eastAsia"/>
          <w:sz w:val="32"/>
          <w:szCs w:val="32"/>
        </w:rPr>
        <w:t xml:space="preserve">十三、机关运行经费：为保障行政单位（含参照公务员法管理的事业单位、机关服务中心）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sectPr>
      <w:headerReference w:type="default" r:id="rId22"/>
      <w:footerReference w:type="default" r:id="rId23"/>
      <w:type w:val="continuous"/>
      <w:pgSz w:w="11900" w:h="16840" w:orient="portrait"/>
      <w:pgMar w:top="1302" w:right="1735" w:bottom="1568" w:left="1793" w:header="874" w:footer="1077" w:gutter="0"/>
      <w:pgBorders>
        <w:top w:val="none" w:sz="0" w:space="0" w:color="auto"/>
        <w:left w:val="none" w:sz="0" w:space="0" w:color="auto"/>
        <w:bottom w:val="none" w:sz="0" w:space="0" w:color="auto"/>
        <w:right w:val="none" w:sz="0" w:space="0" w:color="auto"/>
      </w:pgBorders>
      <w:pgNumType w:fmt="decimal"/>
      <w:cols w:num="1" w:space="720">
        <w:col w:w="8372" w:space="720"/>
      </w:cols>
      <w:docGrid w:linePitch="360" w:charSpace="0"/>
    </w:sectPr>
  </w:body>
</w:document>
</file>

<file path=word/fontTable.xml><?xml version="1.0" encoding="utf-8"?>
<w:fonts xmlns:r="http://schemas.openxmlformats.org/officeDocument/2006/relationships" xmlns:w="http://schemas.openxmlformats.org/wordprocessingml/2006/main" xmlns:mc="http://schemas.openxmlformats.org/markup-compatibility/2006" xmlns:w14="http://schemas.microsoft.com/office/word/2010/wordml" xmlns:w15="http://schemas.microsoft.com/office/word/2012/wordml" mc:Ignorable="w14 w15">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Auto"/>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Auto"/>
    <w:pitch w:val="default"/>
    <w:sig w:usb0="E0002EFF" w:usb1="C0007843" w:usb2="00000009" w:usb3="00000000" w:csb0="400001FF" w:csb1="FFFF0000"/>
  </w:font>
  <w:font w:name="Symbol">
    <w:panose1 w:val="05050102010706020507"/>
    <w:charset w:val="02"/>
    <w:family w:val="Auto"/>
    <w:pitch w:val="default"/>
    <w:sig w:usb0="00000000" w:usb1="00000000" w:usb2="00000000" w:usb3="00000000" w:csb0="80000000" w:csb1="00000000"/>
  </w:font>
  <w:font w:name="Calibri">
    <w:panose1 w:val="020F0502020204030204"/>
    <w:charset w:val="00"/>
    <w:family w:val="Auto"/>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Segoe UI">
    <w:panose1 w:val="020B0502040204020203"/>
    <w:charset w:val="00"/>
    <w:family w:val="Auto"/>
    <w:pitch w:val="default"/>
    <w:sig w:usb0="E4002EFF" w:usb1="C000E47F" w:usb2="00000009" w:usb3="00000000" w:csb0="200001FF" w:csb1="00000000"/>
  </w:font>
</w:fonts>
</file>

<file path=word/footer1.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pStyle w:val="Footer"/>
    </w:pPr>
  </w:p>
</w:ftr>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spacing w:line="1" w:lineRule="exact"/>
    </w:pPr>
    <w:r>
      <w:rPr>
        <w:sz w:val="24"/>
      </w:rPr>
      <mc:AlternateContent xmlns:mc="http://schemas.openxmlformats.org/markup-compatibility/2006">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537" name="文本框 2"/>
              <wp:cNvGraphicFramePr>
                <a:graphicFrameLocks noChangeAspect="0"/>
              </wp:cNvGraphicFramePr>
              <a:graphic>
                <a:graphicData uri="http://schemas.microsoft.com/office/word/2010/wordprocessingShape">
                  <wps:wsp>
                    <wps:cNvSpPr/>
                    <wps:spPr>
                      <a:xfrm>
                        <a:off x="0" y="0"/>
                        <a:ext cx="1828800" cy="1828800"/>
                      </a:xfrm>
                      <a:prstGeom prst="rect">
                        <a:avLst/>
                      </a:prstGeom>
                      <a:noFill/>
                      <a:ln>
                        <a:noFill/>
                      </a:ln>
                    </wps:spPr>
                    <wps:style>
                      <a:lnRef idx="0"/>
                      <a:fillRef idx="0"/>
                      <a:effectRef idx="0">
                        <a:schemeClr val="accent1"/>
                      </a:effectRef>
                      <a:fontRef idx="minor">
                        <a:schemeClr val="dk1"/>
                      </a:fontRef>
                    </wps:style>
                    <wps:txbx>
                      <w:txbxContent>
                        <w:p>
                          <w:pPr>
                            <w:pStyle w:val="Footer"/>
                          </w:pPr>
                          <w:r>
                            <w:fldChar w:fldCharType="begin"/>
                          </w:r>
                          <w:r>
                            <w:instrText xml:space="preserve"> PAGE  \* MERGEFORMAT </w:instrText>
                          </w:r>
                          <w:r>
                            <w:fldChar w:fldCharType="separate"/>
                          </w:r>
                          <w:r>
                            <w:t xml:space="preserve">2</w:t>
                          </w:r>
                          <w:r>
                            <w:fldChar w:fldCharType="end"/>
                          </w:r>
                        </w:p>
                      </w:txbxContent>
                    </wps:txbx>
                    <wps:bodyPr rot="0" spcFirstLastPara="0" vertOverflow="overflow" horzOverflow="overflow" vert="horz" wrap="none" lIns="0" tIns="0" rIns="0" bIns="0" numCol="1" rtlCol="0" anchor="t" upright="0">
                      <a:spAutoFit/>
                    </wps:bodyPr>
                  </wps:wsp>
                </a:graphicData>
              </a:graphic>
            </wp:anchor>
          </w:drawing>
        </mc:Choice>
        <mc:Fallback>
          <w:pict>
            <v:shape id="文本框 2" o:spid="_x0000_s10409" type="#_x0000_t202" style="height:2in;margin-left:0;margin-top:0;mso-height-relative:page;mso-position-horizontal:center;mso-position-horizontal-relative:margin;mso-width-relative:page;mso-wrap-distance-bottom:0;mso-wrap-distance-left:9pt;mso-wrap-distance-right:9pt;mso-wrap-distance-top:0;mso-wrap-style:none;position:absolute;v-text-anchor:top;width:2in;z-index:251661312" coordsize="21600,21600" filled="f" stroked="f" strokeweight="0.5pt">
              <w10:bordertop type="none" width="0"/>
              <w10:borderleft type="none" width="0"/>
              <w10:borderbottom type="none" width="0"/>
              <w10:borderright type="none" width="0"/>
              <v:textbox style="layout-flow:horizontal;mso-fit-shape-to-text:t" inset="0,0,0,0">
                <w:txbxContent>
                  <w:p>
                    <w:pPr>
                      <w:pStyle w:val="Footer"/>
                    </w:pPr>
                    <w:r>
                      <w:fldChar w:fldCharType="begin"/>
                    </w:r>
                    <w:r>
                      <w:instrText xml:space="preserve"> PAGE  \* MERGEFORMAT </w:instrText>
                    </w:r>
                    <w:r>
                      <w:fldChar w:fldCharType="separate"/>
                    </w:r>
                    <w:r>
                      <w:t xml:space="preserve">2</w:t>
                    </w:r>
                    <w:r>
                      <w:fldChar w:fldCharType="end"/>
                    </w:r>
                  </w:p>
                </w:txbxContent>
              </v:textbox>
            </v:shape>
          </w:pict>
        </mc:Fallback>
      </mc:AlternateContent>
    </w:r>
  </w:p>
</w:ftr>
</file>

<file path=word/footer3.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spacing w:line="1" w:lineRule="exact"/>
    </w:pPr>
    <w:r>
      <w:rPr>
        <w:sz w:val="24"/>
      </w:rPr>
      <mc:AlternateContent xmlns:mc="http://schemas.openxmlformats.org/markup-compatibility/2006">
        <mc:Choice Requires="wps">
          <w:drawing>
            <wp:anchor distT="0" distB="0" distL="114300" distR="114300" simplePos="0" relativeHeight="251662336" behindDoc="0" locked="0" layoutInCell="1" allowOverlap="1">
              <wp:simplePos x="0" y="0"/>
              <wp:positionH relativeFrom="margin">
                <wp:posOffset>2574925</wp:posOffset>
              </wp:positionH>
              <wp:positionV relativeFrom="paragraph">
                <wp:posOffset>0</wp:posOffset>
              </wp:positionV>
              <wp:extent cx="394970" cy="168910"/>
              <wp:effectExtent l="0" t="0" r="0" b="0"/>
              <wp:wrapNone/>
              <wp:docPr id="10545" name="文本框 4"/>
              <wp:cNvGraphicFramePr>
                <a:graphicFrameLocks noChangeAspect="0"/>
              </wp:cNvGraphicFramePr>
              <a:graphic>
                <a:graphicData uri="http://schemas.microsoft.com/office/word/2010/wordprocessingShape">
                  <wps:wsp>
                    <wps:cNvSpPr/>
                    <wps:spPr>
                      <a:xfrm>
                        <a:off x="0" y="0"/>
                        <a:ext cx="394970" cy="168910"/>
                      </a:xfrm>
                      <a:prstGeom prst="rect">
                        <a:avLst/>
                      </a:prstGeom>
                      <a:noFill/>
                      <a:ln>
                        <a:noFill/>
                      </a:ln>
                    </wps:spPr>
                    <wps:style>
                      <a:lnRef idx="0"/>
                      <a:fillRef idx="0"/>
                      <a:effectRef idx="0">
                        <a:schemeClr val="accent1"/>
                      </a:effectRef>
                      <a:fontRef idx="minor">
                        <a:schemeClr val="dk1"/>
                      </a:fontRef>
                    </wps:style>
                    <wps:txbx>
                      <w:txbxContent>
                        <w:p>
                          <w:pPr>
                            <w:pStyle w:val="Footer"/>
                          </w:pPr>
                          <w:r>
                            <w:fldChar w:fldCharType="begin"/>
                          </w:r>
                          <w:r>
                            <w:instrText xml:space="preserve"> PAGE  \* MERGEFORMAT </w:instrText>
                          </w:r>
                          <w:r>
                            <w:fldChar w:fldCharType="separate"/>
                          </w:r>
                          <w:r>
                            <w:t xml:space="preserve">4</w:t>
                          </w:r>
                          <w:r>
                            <w:fldChar w:fldCharType="end"/>
                          </w:r>
                        </w:p>
                      </w:txbxContent>
                    </wps:txbx>
                    <wps:bodyPr rot="0" spcFirstLastPara="0" vertOverflow="overflow" horzOverflow="overflow" vert="horz" wrap="square" lIns="0" tIns="0" rIns="0" bIns="0" numCol="1" rtlCol="0" anchor="t" upright="0">
                      <a:noAutofit/>
                    </wps:bodyPr>
                  </wps:wsp>
                </a:graphicData>
              </a:graphic>
            </wp:anchor>
          </w:drawing>
        </mc:Choice>
        <mc:Fallback>
          <w:pict>
            <v:shape id="文本框 4" o:spid="_x0000_s10411" type="#_x0000_t202" style="height:13.3pt;margin-left:202.75pt;margin-top:0;mso-height-relative:page;mso-position-horizontal-relative:margin;mso-width-relative:page;mso-wrap-distance-bottom:0;mso-wrap-distance-left:9pt;mso-wrap-distance-right:9pt;mso-wrap-distance-top:0;mso-wrap-style:square;position:absolute;v-text-anchor:top;width:31.1pt;z-index:251662336" coordsize="21600,21600" filled="f" stroked="f" strokeweight="0.5pt">
              <w10:bordertop type="none" width="0"/>
              <w10:borderleft type="none" width="0"/>
              <w10:borderbottom type="none" width="0"/>
              <w10:borderright type="none" width="0"/>
              <v:textbox style="layout-flow:horizontal" inset="0,0,0,0">
                <w:txbxContent>
                  <w:p>
                    <w:pPr>
                      <w:pStyle w:val="Footer"/>
                    </w:pPr>
                    <w:r>
                      <w:fldChar w:fldCharType="begin"/>
                    </w:r>
                    <w:r>
                      <w:instrText xml:space="preserve"> PAGE  \* MERGEFORMAT </w:instrText>
                    </w:r>
                    <w:r>
                      <w:fldChar w:fldCharType="separate"/>
                    </w:r>
                    <w:r>
                      <w:t xml:space="preserve">4</w:t>
                    </w:r>
                    <w:r>
                      <w:fldChar w:fldCharType="end"/>
                    </w:r>
                  </w:p>
                </w:txbxContent>
              </v:textbox>
            </v:shape>
          </w:pict>
        </mc:Fallback>
      </mc:AlternateContent>
    </w:r>
  </w:p>
</w:ftr>
</file>

<file path=word/footer4.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spacing w:line="1" w:lineRule="exact"/>
    </w:pPr>
    <w:r>
      <w:rPr>
        <w:sz w:val="24"/>
      </w:rPr>
      <mc:AlternateContent xmlns:mc="http://schemas.openxmlformats.org/markup-compatibility/2006">
        <mc:Choice Requires="wps">
          <w:drawing>
            <wp:anchor distT="0" distB="0" distL="114300" distR="114300" simplePos="0" relativeHeight="251663360" behindDoc="0" locked="0" layoutInCell="1" allowOverlap="1">
              <wp:simplePos x="0" y="0"/>
              <wp:positionH relativeFrom="margin">
                <wp:posOffset>4810125</wp:posOffset>
              </wp:positionH>
              <wp:positionV relativeFrom="paragraph">
                <wp:posOffset>0</wp:posOffset>
              </wp:positionV>
              <wp:extent cx="440055" cy="206375"/>
              <wp:effectExtent l="0" t="0" r="0" b="0"/>
              <wp:wrapNone/>
              <wp:docPr id="10547" name="文本框 7"/>
              <wp:cNvGraphicFramePr>
                <a:graphicFrameLocks noChangeAspect="0"/>
              </wp:cNvGraphicFramePr>
              <a:graphic>
                <a:graphicData uri="http://schemas.microsoft.com/office/word/2010/wordprocessingShape">
                  <wps:wsp>
                    <wps:cNvSpPr/>
                    <wps:spPr>
                      <a:xfrm>
                        <a:off x="0" y="0"/>
                        <a:ext cx="440055" cy="206375"/>
                      </a:xfrm>
                      <a:prstGeom prst="rect">
                        <a:avLst/>
                      </a:prstGeom>
                      <a:noFill/>
                      <a:ln>
                        <a:noFill/>
                      </a:ln>
                    </wps:spPr>
                    <wps:style>
                      <a:lnRef idx="0"/>
                      <a:fillRef idx="0"/>
                      <a:effectRef idx="0">
                        <a:schemeClr val="accent1"/>
                      </a:effectRef>
                      <a:fontRef idx="minor">
                        <a:schemeClr val="dk1"/>
                      </a:fontRef>
                    </wps:style>
                    <wps:txbx>
                      <w:txbxContent>
                        <w:p>
                          <w:pPr>
                            <w:pStyle w:val="Footer"/>
                          </w:pPr>
                          <w:r>
                            <w:fldChar w:fldCharType="begin"/>
                          </w:r>
                          <w:r>
                            <w:instrText xml:space="preserve"> PAGE  \* MERGEFORMAT </w:instrText>
                          </w:r>
                          <w:r>
                            <w:fldChar w:fldCharType="separate"/>
                          </w:r>
                          <w:r>
                            <w:t xml:space="preserve">15</w:t>
                          </w:r>
                          <w:r>
                            <w:fldChar w:fldCharType="end"/>
                          </w:r>
                        </w:p>
                      </w:txbxContent>
                    </wps:txbx>
                    <wps:bodyPr rot="0" spcFirstLastPara="0" vertOverflow="overflow" horzOverflow="overflow" vert="horz" wrap="square" lIns="0" tIns="0" rIns="0" bIns="0" numCol="1" rtlCol="0" anchor="t" upright="0">
                      <a:noAutofit/>
                    </wps:bodyPr>
                  </wps:wsp>
                </a:graphicData>
              </a:graphic>
            </wp:anchor>
          </w:drawing>
        </mc:Choice>
        <mc:Fallback>
          <w:pict>
            <v:shape id="文本框 7" o:spid="_x0000_s10413" type="#_x0000_t202" style="height:16.25pt;margin-left:378.75pt;margin-top:0;mso-height-relative:page;mso-position-horizontal-relative:margin;mso-width-relative:page;mso-wrap-distance-bottom:0;mso-wrap-distance-left:9pt;mso-wrap-distance-right:9pt;mso-wrap-distance-top:0;mso-wrap-style:square;position:absolute;v-text-anchor:top;width:34.65pt;z-index:251663360" coordsize="21600,21600" filled="f" stroked="f" strokeweight="0.5pt">
              <w10:bordertop type="none" width="0"/>
              <w10:borderleft type="none" width="0"/>
              <w10:borderbottom type="none" width="0"/>
              <w10:borderright type="none" width="0"/>
              <v:textbox style="layout-flow:horizontal" inset="0,0,0,0">
                <w:txbxContent>
                  <w:p>
                    <w:pPr>
                      <w:pStyle w:val="Footer"/>
                    </w:pPr>
                    <w:r>
                      <w:fldChar w:fldCharType="begin"/>
                    </w:r>
                    <w:r>
                      <w:instrText xml:space="preserve"> PAGE  \* MERGEFORMAT </w:instrText>
                    </w:r>
                    <w:r>
                      <w:fldChar w:fldCharType="separate"/>
                    </w:r>
                    <w:r>
                      <w:t xml:space="preserve">15</w:t>
                    </w:r>
                    <w:r>
                      <w:fldChar w:fldCharType="end"/>
                    </w:r>
                  </w:p>
                </w:txbxContent>
              </v:textbox>
            </v:shape>
          </w:pict>
        </mc:Fallback>
      </mc:AlternateContent>
    </w:r>
  </w:p>
</w:ftr>
</file>

<file path=word/footer5.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spacing w:line="1" w:lineRule="exact"/>
    </w:pPr>
    <w:r>
      <w:rPr>
        <w:sz w:val="24"/>
      </w:rPr>
      <mc:AlternateContent xmlns:mc="http://schemas.openxmlformats.org/markup-compatibility/2006">
        <mc:Choice Requires="wps">
          <w:drawing>
            <wp:anchor distT="0" distB="0" distL="114300" distR="114300" simplePos="0" relativeHeight="251664384" behindDoc="0" locked="0" layoutInCell="1" allowOverlap="1">
              <wp:simplePos x="0" y="0"/>
              <wp:positionH relativeFrom="margin">
                <wp:posOffset>4538345</wp:posOffset>
              </wp:positionH>
              <wp:positionV relativeFrom="paragraph">
                <wp:posOffset>-151765</wp:posOffset>
              </wp:positionV>
              <wp:extent cx="478790" cy="323215"/>
              <wp:effectExtent l="0" t="0" r="0" b="0"/>
              <wp:wrapNone/>
              <wp:docPr id="10548" name="文本框 9"/>
              <wp:cNvGraphicFramePr>
                <a:graphicFrameLocks noChangeAspect="0"/>
              </wp:cNvGraphicFramePr>
              <a:graphic>
                <a:graphicData uri="http://schemas.microsoft.com/office/word/2010/wordprocessingShape">
                  <wps:wsp>
                    <wps:cNvSpPr/>
                    <wps:spPr>
                      <a:xfrm>
                        <a:off x="0" y="0"/>
                        <a:ext cx="478790" cy="323215"/>
                      </a:xfrm>
                      <a:prstGeom prst="rect">
                        <a:avLst/>
                      </a:prstGeom>
                      <a:noFill/>
                      <a:ln>
                        <a:noFill/>
                      </a:ln>
                    </wps:spPr>
                    <wps:style>
                      <a:lnRef idx="0"/>
                      <a:fillRef idx="0"/>
                      <a:effectRef idx="0">
                        <a:schemeClr val="accent1"/>
                      </a:effectRef>
                      <a:fontRef idx="minor">
                        <a:schemeClr val="dk1"/>
                      </a:fontRef>
                    </wps:style>
                    <wps:txbx>
                      <w:txbxContent>
                        <w:p>
                          <w:pPr>
                            <w:pStyle w:val="Footer"/>
                          </w:pPr>
                          <w:r>
                            <w:fldChar w:fldCharType="begin"/>
                          </w:r>
                          <w:r>
                            <w:instrText xml:space="preserve"> PAGE  \* MERGEFORMAT </w:instrText>
                          </w:r>
                          <w:r>
                            <w:fldChar w:fldCharType="separate"/>
                          </w:r>
                          <w:r>
                            <w:t xml:space="preserve">16</w:t>
                          </w:r>
                          <w:r>
                            <w:fldChar w:fldCharType="end"/>
                          </w:r>
                        </w:p>
                      </w:txbxContent>
                    </wps:txbx>
                    <wps:bodyPr rot="0" spcFirstLastPara="0" vertOverflow="overflow" horzOverflow="overflow" vert="horz" wrap="square" lIns="0" tIns="0" rIns="0" bIns="0" numCol="1" rtlCol="0" anchor="t" upright="0">
                      <a:noAutofit/>
                    </wps:bodyPr>
                  </wps:wsp>
                </a:graphicData>
              </a:graphic>
            </wp:anchor>
          </w:drawing>
        </mc:Choice>
        <mc:Fallback>
          <w:pict>
            <v:shape id="文本框 9" o:spid="_x0000_s10414" type="#_x0000_t202" style="height:25.45pt;margin-left:357.35pt;margin-top:-11.95pt;mso-height-relative:page;mso-position-horizontal-relative:margin;mso-width-relative:page;mso-wrap-distance-bottom:0;mso-wrap-distance-left:9pt;mso-wrap-distance-right:9pt;mso-wrap-distance-top:0;mso-wrap-style:square;position:absolute;v-text-anchor:top;width:37.7pt;z-index:251664384" coordsize="21600,21600" filled="f" stroked="f" strokeweight="0.5pt">
              <w10:bordertop type="none" width="0"/>
              <w10:borderleft type="none" width="0"/>
              <w10:borderbottom type="none" width="0"/>
              <w10:borderright type="none" width="0"/>
              <v:textbox style="layout-flow:horizontal" inset="0,0,0,0">
                <w:txbxContent>
                  <w:p>
                    <w:pPr>
                      <w:pStyle w:val="Footer"/>
                    </w:pPr>
                    <w:r>
                      <w:fldChar w:fldCharType="begin"/>
                    </w:r>
                    <w:r>
                      <w:instrText xml:space="preserve"> PAGE  \* MERGEFORMAT </w:instrText>
                    </w:r>
                    <w:r>
                      <w:fldChar w:fldCharType="separate"/>
                    </w:r>
                    <w:r>
                      <w:t xml:space="preserve">16</w:t>
                    </w:r>
                    <w:r>
                      <w:fldChar w:fldCharType="end"/>
                    </w:r>
                  </w:p>
                </w:txbxContent>
              </v:textbox>
            </v:shape>
          </w:pict>
        </mc:Fallback>
      </mc:AlternateContent>
    </w:r>
  </w:p>
</w:ftr>
</file>

<file path=word/footer6.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spacing w:line="1" w:lineRule="exact"/>
    </w:pPr>
    <w:r>
      <w:rPr>
        <w:sz w:val="24"/>
      </w:rPr>
      <mc:AlternateContent xmlns:mc="http://schemas.openxmlformats.org/markup-compatibility/2006">
        <mc:Choice Requires="wps">
          <w:drawing>
            <wp:anchor distT="0" distB="0" distL="114300" distR="114300" simplePos="0" relativeHeight="251665408" behindDoc="0" locked="0" layoutInCell="1" allowOverlap="1">
              <wp:simplePos x="0" y="0"/>
              <wp:positionH relativeFrom="margin">
                <wp:posOffset>4473575</wp:posOffset>
              </wp:positionH>
              <wp:positionV relativeFrom="paragraph">
                <wp:posOffset>-86360</wp:posOffset>
              </wp:positionV>
              <wp:extent cx="447040" cy="267970"/>
              <wp:effectExtent l="0" t="0" r="0" b="0"/>
              <wp:wrapNone/>
              <wp:docPr id="10549" name="文本框 11"/>
              <wp:cNvGraphicFramePr>
                <a:graphicFrameLocks noChangeAspect="0"/>
              </wp:cNvGraphicFramePr>
              <a:graphic>
                <a:graphicData uri="http://schemas.microsoft.com/office/word/2010/wordprocessingShape">
                  <wps:wsp>
                    <wps:cNvSpPr/>
                    <wps:spPr>
                      <a:xfrm>
                        <a:off x="0" y="0"/>
                        <a:ext cx="447040" cy="267970"/>
                      </a:xfrm>
                      <a:prstGeom prst="rect">
                        <a:avLst/>
                      </a:prstGeom>
                      <a:noFill/>
                      <a:ln>
                        <a:noFill/>
                      </a:ln>
                    </wps:spPr>
                    <wps:style>
                      <a:lnRef idx="0"/>
                      <a:fillRef idx="0"/>
                      <a:effectRef idx="0">
                        <a:schemeClr val="accent1"/>
                      </a:effectRef>
                      <a:fontRef idx="minor">
                        <a:schemeClr val="dk1"/>
                      </a:fontRef>
                    </wps:style>
                    <wps:txbx>
                      <w:txbxContent>
                        <w:p>
                          <w:pPr>
                            <w:pStyle w:val="Footer"/>
                          </w:pPr>
                          <w:r>
                            <w:fldChar w:fldCharType="begin"/>
                          </w:r>
                          <w:r>
                            <w:instrText xml:space="preserve"> PAGE  \* MERGEFORMAT </w:instrText>
                          </w:r>
                          <w:r>
                            <w:fldChar w:fldCharType="separate"/>
                          </w:r>
                          <w:r>
                            <w:t xml:space="preserve">17</w:t>
                          </w:r>
                          <w:r>
                            <w:fldChar w:fldCharType="end"/>
                          </w:r>
                        </w:p>
                      </w:txbxContent>
                    </wps:txbx>
                    <wps:bodyPr rot="0" spcFirstLastPara="0" vertOverflow="overflow" horzOverflow="overflow" vert="horz" wrap="square" lIns="0" tIns="0" rIns="0" bIns="0" numCol="1" rtlCol="0" anchor="t" upright="0">
                      <a:noAutofit/>
                    </wps:bodyPr>
                  </wps:wsp>
                </a:graphicData>
              </a:graphic>
            </wp:anchor>
          </w:drawing>
        </mc:Choice>
        <mc:Fallback>
          <w:pict>
            <v:shape id="文本框 11" o:spid="_x0000_s10415" type="#_x0000_t202" style="height:21.1pt;margin-left:352.25pt;margin-top:-6.8pt;mso-height-relative:page;mso-position-horizontal-relative:margin;mso-width-relative:page;mso-wrap-distance-bottom:0;mso-wrap-distance-left:9pt;mso-wrap-distance-right:9pt;mso-wrap-distance-top:0;mso-wrap-style:square;position:absolute;v-text-anchor:top;width:35.2pt;z-index:251665408" coordsize="21600,21600" filled="f" stroked="f" strokeweight="0.5pt">
              <w10:bordertop type="none" width="0"/>
              <w10:borderleft type="none" width="0"/>
              <w10:borderbottom type="none" width="0"/>
              <w10:borderright type="none" width="0"/>
              <v:textbox style="layout-flow:horizontal" inset="0,0,0,0">
                <w:txbxContent>
                  <w:p>
                    <w:pPr>
                      <w:pStyle w:val="Footer"/>
                    </w:pPr>
                    <w:r>
                      <w:fldChar w:fldCharType="begin"/>
                    </w:r>
                    <w:r>
                      <w:instrText xml:space="preserve"> PAGE  \* MERGEFORMAT </w:instrText>
                    </w:r>
                    <w:r>
                      <w:fldChar w:fldCharType="separate"/>
                    </w:r>
                    <w:r>
                      <w:t xml:space="preserve">17</w:t>
                    </w:r>
                    <w:r>
                      <w:fldChar w:fldCharType="end"/>
                    </w:r>
                  </w:p>
                </w:txbxContent>
              </v:textbox>
            </v:shape>
          </w:pict>
        </mc:Fallback>
      </mc:AlternateContent>
    </w:r>
  </w:p>
</w:ftr>
</file>

<file path=word/footer7.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spacing w:line="1" w:lineRule="exact"/>
    </w:pPr>
    <w:r>
      <w:rPr>
        <w:sz w:val="24"/>
      </w:rPr>
      <mc:AlternateContent xmlns:mc="http://schemas.openxmlformats.org/markup-compatibility/2006">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550" name="文本框 12"/>
              <wp:cNvGraphicFramePr>
                <a:graphicFrameLocks noChangeAspect="0"/>
              </wp:cNvGraphicFramePr>
              <a:graphic>
                <a:graphicData uri="http://schemas.microsoft.com/office/word/2010/wordprocessingShape">
                  <wps:wsp>
                    <wps:cNvSpPr/>
                    <wps:spPr>
                      <a:xfrm>
                        <a:off x="0" y="0"/>
                        <a:ext cx="1828800" cy="1828800"/>
                      </a:xfrm>
                      <a:prstGeom prst="rect">
                        <a:avLst/>
                      </a:prstGeom>
                      <a:noFill/>
                      <a:ln>
                        <a:noFill/>
                      </a:ln>
                    </wps:spPr>
                    <wps:style>
                      <a:lnRef idx="0"/>
                      <a:fillRef idx="0"/>
                      <a:effectRef idx="0">
                        <a:schemeClr val="accent1"/>
                      </a:effectRef>
                      <a:fontRef idx="minor">
                        <a:schemeClr val="dk1"/>
                      </a:fontRef>
                    </wps:style>
                    <wps:txbx>
                      <w:txbxContent>
                        <w:p>
                          <w:pPr>
                            <w:pStyle w:val="Footer"/>
                          </w:pPr>
                          <w:r>
                            <w:fldChar w:fldCharType="begin"/>
                          </w:r>
                          <w:r>
                            <w:instrText xml:space="preserve"> PAGE  \* MERGEFORMAT </w:instrText>
                          </w:r>
                          <w:r>
                            <w:fldChar w:fldCharType="separate"/>
                          </w:r>
                          <w:r>
                            <w:t xml:space="preserve">25</w:t>
                          </w:r>
                          <w:r>
                            <w:fldChar w:fldCharType="end"/>
                          </w:r>
                        </w:p>
                      </w:txbxContent>
                    </wps:txbx>
                    <wps:bodyPr rot="0" spcFirstLastPara="0" vertOverflow="overflow" horzOverflow="overflow" vert="horz" wrap="none" lIns="0" tIns="0" rIns="0" bIns="0" numCol="1" rtlCol="0" anchor="t" upright="0">
                      <a:spAutoFit/>
                    </wps:bodyPr>
                  </wps:wsp>
                </a:graphicData>
              </a:graphic>
            </wp:anchor>
          </w:drawing>
        </mc:Choice>
        <mc:Fallback>
          <w:pict>
            <v:shape id="文本框 12" o:spid="_x0000_s10416" type="#_x0000_t202" style="height:2in;margin-left:0;margin-top:0;mso-height-relative:page;mso-position-horizontal:center;mso-position-horizontal-relative:margin;mso-width-relative:page;mso-wrap-distance-bottom:0;mso-wrap-distance-left:9pt;mso-wrap-distance-right:9pt;mso-wrap-distance-top:0;mso-wrap-style:none;position:absolute;v-text-anchor:top;width:2in;z-index:251666432" coordsize="21600,21600" filled="f" stroked="f" strokeweight="0.5pt">
              <w10:bordertop type="none" width="0"/>
              <w10:borderleft type="none" width="0"/>
              <w10:borderbottom type="none" width="0"/>
              <w10:borderright type="none" width="0"/>
              <v:textbox style="layout-flow:horizontal;mso-fit-shape-to-text:t" inset="0,0,0,0">
                <w:txbxContent>
                  <w:p>
                    <w:pPr>
                      <w:pStyle w:val="Footer"/>
                    </w:pPr>
                    <w:r>
                      <w:fldChar w:fldCharType="begin"/>
                    </w:r>
                    <w:r>
                      <w:instrText xml:space="preserve"> PAGE  \* MERGEFORMAT </w:instrText>
                    </w:r>
                    <w:r>
                      <w:fldChar w:fldCharType="separate"/>
                    </w:r>
                    <w:r>
                      <w:t xml:space="preserve">25</w:t>
                    </w:r>
                    <w:r>
                      <w:fldChar w:fldCharType="end"/>
                    </w:r>
                  </w:p>
                </w:txbxContent>
              </v:textbox>
            </v:shape>
          </w:pict>
        </mc:Fallback>
      </mc:AlternateContent>
    </w:r>
  </w:p>
</w:ftr>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pStyle w:val="Header"/>
    </w:pPr>
  </w:p>
</w:hdr>
</file>

<file path=word/header2.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spacing w:line="1" w:lineRule="exact"/>
    </w:pPr>
    <w:r>
      <mc:AlternateContent xmlns:mc="http://schemas.openxmlformats.org/markup-compatibility/2006">
        <mc:Choice Requires="wps">
          <w:drawing>
            <wp:anchor distT="0" distB="0" distL="0" distR="0" simplePos="0" relativeHeight="251659264" behindDoc="1" locked="0" layoutInCell="1" allowOverlap="1">
              <wp:simplePos x="0" y="0"/>
              <wp:positionH relativeFrom="page">
                <wp:posOffset>9117330</wp:posOffset>
              </wp:positionH>
              <wp:positionV relativeFrom="page">
                <wp:posOffset>1217295</wp:posOffset>
              </wp:positionV>
              <wp:extent cx="581025" cy="109855"/>
              <wp:effectExtent l="0" t="0" r="0" b="0"/>
              <wp:wrapNone/>
              <wp:docPr id="10544" name="Shape 5"/>
              <wp:cNvGraphicFramePr>
                <a:graphicFrameLocks noChangeAspect="0"/>
              </wp:cNvGraphicFramePr>
              <a:graphic>
                <a:graphicData uri="http://schemas.microsoft.com/office/word/2010/wordprocessingShape">
                  <wps:wsp>
                    <wps:cNvSpPr/>
                    <wps:spPr>
                      <a:xfrm>
                        <a:off x="0" y="0"/>
                        <a:ext cx="581025" cy="109855"/>
                      </a:xfrm>
                      <a:prstGeom prst="rect">
                        <a:avLst/>
                      </a:prstGeom>
                      <a:noFill/>
                    </wps:spPr>
                    <wps:txbx>
                      <w:txbxContent>
                        <w:p>
                          <w:pPr>
                            <w:pStyle w:val="Headerorfooter|1"/>
                          </w:pPr>
                        </w:p>
                      </w:txbxContent>
                    </wps:txbx>
                    <wps:bodyPr rot="0" spcFirstLastPara="0" vertOverflow="overflow" horzOverflow="overflow" vert="horz" wrap="square" lIns="0" tIns="0" rIns="0" bIns="0" numCol="1" anchor="t" upright="0">
                      <a:spAutoFit/>
                    </wps:bodyPr>
                  </wps:wsp>
                </a:graphicData>
              </a:graphic>
            </wp:anchor>
          </w:drawing>
        </mc:Choice>
        <mc:Fallback>
          <w:pict>
            <v:shape id="Shape 5" o:spid="_x0000_s10410" type="#_x0000_t202" style="height:8.65pt;margin-left:717.9pt;margin-top:95.85pt;mso-height-relative:page;mso-position-horizontal-relative:page;mso-position-vertical-relative:page;mso-width-relative:page;mso-wrap-distance-bottom:0;mso-wrap-distance-left:0;mso-wrap-distance-right:0;mso-wrap-distance-top:0;mso-wrap-style:square;position:absolute;width:45.75pt;z-index:-4043308031" coordsize="21600,21600" filled="f" stroked="f">
              <v:textbox style="mso-fit-shape-to-text:t" inset="0,0,0,0">
                <w:txbxContent>
                  <w:p>
                    <w:pPr>
                      <w:pStyle w:val="Headerorfooter|1"/>
                    </w:pPr>
                  </w:p>
                </w:txbxContent>
              </v:textbox>
            </v:shape>
          </w:pict>
        </mc:Fallback>
      </mc:AlternateContent>
    </w:r>
  </w:p>
</w:hdr>
</file>

<file path=word/header3.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spacing w:line="1" w:lineRule="exact"/>
    </w:pPr>
    <w:r>
      <mc:AlternateContent xmlns:mc="http://schemas.openxmlformats.org/markup-compatibility/2006">
        <mc:Choice Requires="wps">
          <w:drawing>
            <wp:anchor distT="0" distB="0" distL="0" distR="0" simplePos="0" relativeHeight="251660288" behindDoc="1" locked="0" layoutInCell="1" allowOverlap="1">
              <wp:simplePos x="0" y="0"/>
              <wp:positionH relativeFrom="page">
                <wp:posOffset>9117330</wp:posOffset>
              </wp:positionH>
              <wp:positionV relativeFrom="page">
                <wp:posOffset>1217295</wp:posOffset>
              </wp:positionV>
              <wp:extent cx="581025" cy="109855"/>
              <wp:effectExtent l="0" t="0" r="0" b="0"/>
              <wp:wrapNone/>
              <wp:docPr id="10546" name="Shape 5"/>
              <wp:cNvGraphicFramePr>
                <a:graphicFrameLocks noChangeAspect="0"/>
              </wp:cNvGraphicFramePr>
              <a:graphic>
                <a:graphicData uri="http://schemas.microsoft.com/office/word/2010/wordprocessingShape">
                  <wps:wsp>
                    <wps:cNvSpPr/>
                    <wps:spPr>
                      <a:xfrm>
                        <a:off x="0" y="0"/>
                        <a:ext cx="581025" cy="109855"/>
                      </a:xfrm>
                      <a:prstGeom prst="rect">
                        <a:avLst/>
                      </a:prstGeom>
                      <a:noFill/>
                    </wps:spPr>
                    <wps:txbx>
                      <w:txbxContent>
                        <w:p>
                          <w:pPr>
                            <w:pStyle w:val="Headerorfooter|1"/>
                          </w:pPr>
                        </w:p>
                      </w:txbxContent>
                    </wps:txbx>
                    <wps:bodyPr rot="0" spcFirstLastPara="0" vertOverflow="overflow" horzOverflow="overflow" vert="horz" wrap="square" lIns="0" tIns="0" rIns="0" bIns="0" numCol="1" anchor="t" upright="0">
                      <a:spAutoFit/>
                    </wps:bodyPr>
                  </wps:wsp>
                </a:graphicData>
              </a:graphic>
            </wp:anchor>
          </w:drawing>
        </mc:Choice>
        <mc:Fallback>
          <w:pict>
            <v:shape id="Shape 5" o:spid="_x0000_s10412" type="#_x0000_t202" style="height:8.65pt;margin-left:717.9pt;margin-top:95.85pt;mso-height-relative:page;mso-position-horizontal-relative:page;mso-position-vertical-relative:page;mso-width-relative:page;mso-wrap-distance-bottom:0;mso-wrap-distance-left:0;mso-wrap-distance-right:0;mso-wrap-distance-top:0;mso-wrap-style:square;position:absolute;width:45.75pt;z-index:-4043307007" coordsize="21600,21600" filled="f" stroked="f">
              <v:textbox style="mso-fit-shape-to-text:t" inset="0,0,0,0">
                <w:txbxContent>
                  <w:p>
                    <w:pPr>
                      <w:pStyle w:val="Headerorfooter|1"/>
                    </w:pPr>
                  </w:p>
                </w:txbxContent>
              </v:textbox>
            </v:shape>
          </w:pict>
        </mc:Fallback>
      </mc:AlternateContent>
    </w:r>
  </w:p>
</w:hdr>
</file>

<file path=word/header4.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p>
</w:hdr>
</file>

<file path=word/header5.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p>
</w:hdr>
</file>

<file path=word/header6.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1">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abstractNum w:abstractNumId="2">
    <w:multiLevelType w:val="singleLevel"/>
    <w:lvl w:ilvl="0">
      <w:start w:val="1"/>
      <w:numFmt w:val="decimal"/>
      <w:suff w:val="nothing"/>
      <w:lvlText w:val="%1．"/>
      <w:lvlJc w:val="left"/>
      <w:pPr>
        <w:ind w:left="0" w:firstLine="400"/>
      </w:pPr>
      <w:rPr>
        <w:rFont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xmlns:w="http://schemas.openxmlformats.org/wordprocessingml/2006/main" xmlns:w15="http://schemas.microsoft.com/office/word/2012/wordml" mc:Ignorable="w14 w15">
  <w:zoom w:percent="140"/>
  <w:doNotDisplayPageBoundaries/>
  <w:bordersDoNotSurroundFooter w:val="0"/>
  <w:bordersDoNotSurroundHeader w:val="0"/>
  <w:doNotTrackMoves/>
  <w:documentProtection w:enforcement="1" w:edit="comments" w:salt="G5j3lPBGd2d7T1Vws/7new==" w:hash="NtRAru86NNitysnvbsJVaXxa4NHAFPZIcFUQ0H71g9E6ZD4NeRafVs+xaxrpaIyDIW/a4p7XrwxHjJ3lK3jY2A==" w:cryptSpinCount="100000" w:cryptAlgorithmType="typeAny" w:cryptAlgorithmClass="hash" w:cryptProviderType="rsaAES" w:cryptAlgorithmSid="14"/>
  <w:defaultTabStop w:val="420"/>
  <w:drawingGridHorizontalSpacing w:val="181"/>
  <w:drawingGridVerticalSpacing w:val="181"/>
  <w:noPunctuationKerning/>
  <w:characterSpacingControl w:val="compressPunctuation"/>
  <w:compat>
    <w:doNotExpandShiftReturn/>
    <w:doNotWrapTextWithPunct/>
    <w:doNotUseEastAsianBreakRules/>
    <w:useFELayout/>
    <w:doNotUseIndentAsNumberingTabStop/>
    <w:compatSetting w:name="doNotFlipMirrorIndents" w:uri="http://schemas.microsoft.com/office/word" w:val="1"/>
    <w:compatSetting w:name="enableOpenTypeFeatures" w:uri="http://schemas.microsoft.com/office/word" w:val="1"/>
    <w:compatSetting w:name="overrideTableStyleFontSizeAndJustification" w:uri="http://schemas.microsoft.com/office/word" w:val="1"/>
    <w:compatSetting w:name="compatibilityMode" w:uri="http://schemas.microsoft.com/office/word" w:val="15"/>
  </w:compat>
  <w:docVars>
    <w:docVar w:name="commondata" w:val="eyJoZGlkIjoiOGMwZTIwMjA5OTI4N2MwODc2NzEzYWVkMzg3YjQ5NmMifQ=="/>
  </w:docVars>
  <m:mathPr>
    <m:mathFont m:val="Cambria Math"/>
    <m:brkBin m:val="before"/>
    <m:brkBinSub m:val="--"/>
    <m:lMargin m:val="0"/>
    <m:rMargin m:val="0"/>
    <m:defJc m:val="centerGroup"/>
    <m:preSp m:val="0"/>
    <m:postSp m:val="0"/>
    <m:interSp m:val="0"/>
    <m:intraSp m:val="0"/>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rPr>
    </w:rPrDefault>
    <w:pPrDefault/>
  </w:docDefaults>
  <w:latentStyles w:defLockedState="0" w:defUIPriority="99" w:defSemiHidden="1" w:defUnhideWhenUsed="1" w:defQFormat="0" w:count="260">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0" w:uiPriority="0" w:unhideWhenUsed="0"/>
    <w:lsdException w:name="index 2" w:semiHidden="0" w:uiPriority="0" w:unhideWhenUsed="0"/>
    <w:lsdException w:name="index 3" w:semiHidden="0" w:uiPriority="0" w:unhideWhenUsed="0"/>
    <w:lsdException w:name="index 4" w:semiHidden="0" w:uiPriority="0" w:unhideWhenUsed="0"/>
    <w:lsdException w:name="index 5" w:semiHidden="0" w:uiPriority="0" w:unhideWhenUsed="0"/>
    <w:lsdException w:name="index 6" w:semiHidden="0" w:uiPriority="0" w:unhideWhenUsed="0"/>
    <w:lsdException w:name="index 7" w:semiHidden="0" w:uiPriority="0" w:unhideWhenUsed="0"/>
    <w:lsdException w:name="index 8" w:semiHidden="0" w:uiPriority="0" w:unhideWhenUsed="0"/>
    <w:lsdException w:name="index 9" w:semiHidden="0" w:uiPriority="0" w:unhideWhenUsed="0"/>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0" w:unhideWhenUsed="0"/>
    <w:lsdException w:name="footnote text" w:semiHidden="0" w:uiPriority="0" w:unhideWhenUsed="0"/>
    <w:lsdException w:name="annotation text" w:semiHidden="0" w:uiPriority="0" w:unhideWhenUsed="0" w:qFormat="1"/>
    <w:lsdException w:name="header" w:semiHidden="0" w:uiPriority="0" w:unhideWhenUsed="0" w:qFormat="1"/>
    <w:lsdException w:name="footer" w:semiHidden="0" w:uiPriority="0" w:unhideWhenUsed="0" w:qFormat="1"/>
    <w:lsdException w:name="index heading" w:semiHidden="0" w:uiPriority="0" w:unhideWhenUsed="0"/>
    <w:lsdException w:name="caption" w:uiPriority="0" w:qFormat="1"/>
    <w:lsdException w:name="table of figures" w:semiHidden="0" w:uiPriority="0" w:unhideWhenUsed="0"/>
    <w:lsdException w:name="envelope address" w:semiHidden="0" w:uiPriority="0" w:unhideWhenUsed="0"/>
    <w:lsdException w:name="envelope return" w:semiHidden="0" w:uiPriority="0" w:unhideWhenUsed="0"/>
    <w:lsdException w:name="footnote reference" w:semiHidden="0" w:uiPriority="0" w:unhideWhenUsed="0"/>
    <w:lsdException w:name="annotation reference" w:semiHidden="0" w:uiPriority="0" w:unhideWhenUsed="0" w:qFormat="1"/>
    <w:lsdException w:name="line number" w:semiHidden="0" w:uiPriority="0" w:unhideWhenUsed="0"/>
    <w:lsdException w:name="page number" w:semiHidden="0" w:uiPriority="0" w:unhideWhenUsed="0"/>
    <w:lsdException w:name="endnote reference" w:semiHidden="0" w:uiPriority="0" w:unhideWhenUsed="0"/>
    <w:lsdException w:name="endnote text" w:semiHidden="0" w:uiPriority="0" w:unhideWhenUsed="0"/>
    <w:lsdException w:name="table of authorities" w:semiHidden="0" w:uiPriority="0" w:unhideWhenUsed="0"/>
    <w:lsdException w:name="macro" w:semiHidden="0" w:uiPriority="0" w:unhideWhenUsed="0"/>
    <w:lsdException w:name="toa heading" w:semiHidden="0" w:uiPriority="0" w:unhideWhenUsed="0"/>
    <w:lsdException w:name="List" w:semiHidden="0" w:uiPriority="0" w:unhideWhenUsed="0"/>
    <w:lsdException w:name="List Bullet" w:semiHidden="0" w:uiPriority="0" w:unhideWhenUsed="0"/>
    <w:lsdException w:name="List Number" w:semiHidden="0" w:uiPriority="0" w:unhideWhenUsed="0"/>
    <w:lsdException w:name="List 2" w:semiHidden="0" w:uiPriority="0" w:unhideWhenUsed="0"/>
    <w:lsdException w:name="List 3" w:semiHidden="0" w:uiPriority="0" w:unhideWhenUsed="0"/>
    <w:lsdException w:name="List 4" w:semiHidden="0" w:uiPriority="0" w:unhideWhenUsed="0"/>
    <w:lsdException w:name="List 5" w:semiHidden="0" w:uiPriority="0" w:unhideWhenUsed="0"/>
    <w:lsdException w:name="List Bullet 2" w:semiHidden="0" w:uiPriority="0" w:unhideWhenUsed="0"/>
    <w:lsdException w:name="List Bullet 3" w:semiHidden="0" w:uiPriority="0" w:unhideWhenUsed="0"/>
    <w:lsdException w:name="List Bullet 4" w:semiHidden="0" w:uiPriority="0" w:unhideWhenUsed="0"/>
    <w:lsdException w:name="List Bullet 5" w:semiHidden="0" w:uiPriority="0" w:unhideWhenUsed="0"/>
    <w:lsdException w:name="List Number 2" w:semiHidden="0" w:uiPriority="0" w:unhideWhenUsed="0"/>
    <w:lsdException w:name="List Number 3" w:semiHidden="0" w:uiPriority="0" w:unhideWhenUsed="0"/>
    <w:lsdException w:name="List Number 4" w:semiHidden="0" w:uiPriority="0" w:unhideWhenUsed="0"/>
    <w:lsdException w:name="List Number 5" w:semiHidden="0" w:uiPriority="0" w:unhideWhenUsed="0"/>
    <w:lsdException w:name="Title" w:semiHidden="0" w:uiPriority="0" w:unhideWhenUsed="0" w:qFormat="1"/>
    <w:lsdException w:name="Closing" w:semiHidden="0" w:uiPriority="0" w:unhideWhenUsed="0"/>
    <w:lsdException w:name="Signature" w:semiHidden="0" w:uiPriority="0" w:unhideWhenUsed="0"/>
    <w:lsdException w:name="Default Paragraph Font" w:uiPriority="1" w:qFormat="1"/>
    <w:lsdException w:name="Body Text" w:semiHidden="0" w:uiPriority="0" w:unhideWhenUsed="0"/>
    <w:lsdException w:name="Body Text Indent" w:semiHidden="0" w:uiPriority="0" w:unhideWhenUsed="0"/>
    <w:lsdException w:name="List Continue" w:semiHidden="0" w:uiPriority="0" w:unhideWhenUsed="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semiHidden="0" w:uiPriority="0" w:unhideWhenUsed="0"/>
    <w:lsdException w:name="Subtitle" w:semiHidden="0" w:uiPriority="0" w:unhideWhenUsed="0" w:qFormat="1"/>
    <w:lsdException w:name="Salutation" w:semiHidden="0" w:uiPriority="0" w:unhideWhenUsed="0"/>
    <w:lsdException w:name="Date" w:semiHidden="0" w:uiPriority="0" w:unhideWhenUsed="0"/>
    <w:lsdException w:name="Body Text First Indent" w:semiHidden="0" w:uiPriority="0" w:unhideWhenUsed="0"/>
    <w:lsdException w:name="Body Text First Indent 2" w:semiHidden="0" w:uiPriority="0" w:unhideWhenUsed="0"/>
    <w:lsdException w:name="Body Text 2" w:semiHidden="0" w:uiPriority="0" w:unhideWhenUsed="0"/>
    <w:lsdException w:name="Body Text 3" w:semiHidden="0" w:uiPriority="0" w:unhideWhenUsed="0"/>
    <w:lsdException w:name="Body Text Indent 2" w:semiHidden="0" w:uiPriority="0" w:unhideWhenUsed="0"/>
    <w:lsdException w:name="Body Text Indent 3" w:semiHidden="0" w:uiPriority="0" w:unhideWhenUsed="0"/>
    <w:lsdException w:name="Block Text" w:semiHidden="0" w:uiPriority="0" w:unhideWhenUsed="0"/>
    <w:lsdException w:name="Hyperlink" w:semiHidden="0" w:uiPriority="0" w:unhideWhenUsed="0"/>
    <w:lsdException w:name="FollowedHyperlink" w:semiHidden="0" w:uiPriority="0" w:unhideWhenUsed="0"/>
    <w:lsdException w:name="Strong" w:semiHidden="0" w:uiPriority="0" w:unhideWhenUsed="0" w:qFormat="1"/>
    <w:lsdException w:name="Emphasis" w:semiHidden="0" w:uiPriority="0" w:unhideWhenUsed="0" w:qFormat="1"/>
    <w:lsdException w:name="Document Map" w:semiHidden="0" w:uiPriority="0" w:unhideWhenUsed="0"/>
    <w:lsdException w:name="Plain Text" w:semiHidden="0" w:uiPriority="0" w:unhideWhenUsed="0"/>
    <w:lsdException w:name="E-mail Signature" w:semiHidden="0" w:uiPriority="0" w:unhideWhenUsed="0"/>
    <w:lsdException w:name="Normal (Web)" w:semiHidden="0" w:uiPriority="0" w:unhideWhenUsed="0"/>
    <w:lsdException w:name="HTML Acronym" w:semiHidden="0" w:uiPriority="0" w:unhideWhenUsed="0"/>
    <w:lsdException w:name="HTML Address" w:semiHidden="0" w:uiPriority="0" w:unhideWhenUsed="0"/>
    <w:lsdException w:name="HTML Cite" w:semiHidden="0" w:uiPriority="0" w:unhideWhenUsed="0"/>
    <w:lsdException w:name="HTML Code" w:semiHidden="0" w:uiPriority="0" w:unhideWhenUsed="0"/>
    <w:lsdException w:name="HTML Definition" w:semiHidden="0" w:uiPriority="0" w:unhideWhenUsed="0"/>
    <w:lsdException w:name="HTML Keyboard" w:semiHidden="0" w:uiPriority="0" w:unhideWhenUsed="0"/>
    <w:lsdException w:name="HTML Preformatted" w:semiHidden="0" w:uiPriority="0" w:unhideWhenUsed="0"/>
    <w:lsdException w:name="HTML Sample" w:semiHidden="0" w:uiPriority="0" w:unhideWhenUsed="0"/>
    <w:lsdException w:name="HTML Variable" w:semiHidden="0" w:uiPriority="0" w:unhideWhenUsed="0"/>
    <w:lsdException w:name="Normal Table" w:qFormat="1"/>
    <w:lsdException w:name="annotation subject" w:semiHidden="0" w:uiPriority="0" w:unhideWhenUsed="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semiHidden="0" w:uiPriority="0" w:unhideWhenUsed="0"/>
    <w:lsdException w:name="Table Grid" w:semiHidden="0" w:uiPriority="0" w:unhideWhenUsed="0" w:qFormat="1"/>
    <w:lsdException w:name="Table Theme" w:uiPriority="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autoRedefine/>
    <w:qFormat/>
    <w:pPr>
      <w:widowControl w:val="0"/>
    </w:pPr>
    <w:rPr>
      <w:rFonts w:ascii="Times New Roman" w:eastAsia="Times New Roman" w:hAnsi="Times New Roman" w:cs="Times New Roman"/>
      <w:color w:val="000000"/>
      <w:sz w:val="24"/>
      <w:szCs w:val="24"/>
      <w:lang w:val="en-US" w:eastAsia="en-US" w:bidi="en-US"/>
    </w:rPr>
  </w:style>
  <w:style w:type="character" w:default="1" w:styleId="DefaultParagraphFont">
    <w:name w:val="Default Paragraph Font"/>
    <w:autoRedefine/>
    <w:uiPriority w:val="1"/>
    <w:semiHidden/>
    <w:unhideWhenUsed/>
    <w:qFormat/>
    <w:rPr/>
  </w:style>
  <w:style w:type="table" w:default="1" w:styleId="TableNormal">
    <w:name w:val="Normal Table"/>
    <w:autoRedefine/>
    <w:uiPriority w:val="99"/>
    <w:semiHidden/>
    <w:unhideWhenUsed/>
    <w:qFormat/>
    <w:rPr/>
    <w:tblPr>
      <w:tblCellMar>
        <w:top w:w="0" w:type="dxa"/>
        <w:left w:w="108" w:type="dxa"/>
        <w:bottom w:w="0" w:type="dxa"/>
        <w:right w:w="108" w:type="dxa"/>
      </w:tblCellMar>
    </w:tblPr>
  </w:style>
  <w:style w:type="paragraph" w:styleId="annotationtext">
    <w:name w:val="annotation text"/>
    <w:basedOn w:val="Normal"/>
    <w:autoRedefine/>
    <w:qFormat/>
    <w:rPr/>
  </w:style>
  <w:style w:type="paragraph" w:styleId="Footer">
    <w:name w:val="Footer"/>
    <w:basedOn w:val="Normal"/>
    <w:autoRedefine/>
    <w:qFormat/>
    <w:pPr>
      <w:tabs>
        <w:tab w:val="center" w:pos="4153"/>
        <w:tab w:val="right" w:pos="8306"/>
      </w:tabs>
      <w:snapToGrid w:val="0"/>
    </w:pPr>
    <w:rPr>
      <w:sz w:val="18"/>
    </w:rPr>
  </w:style>
  <w:style w:type="paragraph" w:styleId="Header">
    <w:name w:val="Header"/>
    <w:basedOn w:val="Normal"/>
    <w:autoRedefine/>
    <w:qFormat/>
    <w:pPr>
      <w:pBdr>
        <w:top w:val="none" w:sz="0" w:space="1" w:color="auto"/>
        <w:left w:val="none" w:sz="0" w:space="4" w:color="auto"/>
        <w:bottom w:val="none" w:sz="0" w:space="1" w:color="auto"/>
        <w:right w:val="none" w:sz="0" w:space="4" w:color="auto"/>
      </w:pBdr>
      <w:tabs>
        <w:tab w:val="center" w:pos="4153"/>
        <w:tab w:val="right" w:pos="8306"/>
      </w:tabs>
      <w:snapToGrid w:val="0"/>
      <w:jc w:val="both"/>
    </w:pPr>
    <w:rPr>
      <w:sz w:val="18"/>
    </w:rPr>
  </w:style>
  <w:style w:type="table" w:styleId="TableGrid">
    <w:name w:val="Table Grid"/>
    <w:basedOn w:val="TableNormal"/>
    <w:autoRedefine/>
    <w:qFormat/>
    <w:pPr>
      <w:widowControl w:val="0"/>
      <w:jc w:val="both"/>
    </w:pP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nnotationreference">
    <w:name w:val="annotation reference"/>
    <w:basedOn w:val="DefaultParagraphFont"/>
    <w:autoRedefine/>
    <w:qFormat/>
    <w:rPr>
      <w:sz w:val="21"/>
      <w:szCs w:val="21"/>
    </w:rPr>
  </w:style>
  <w:style w:type="character" w:customStyle="1" w:styleId="Bodytext|5_">
    <w:name w:val="Body text|5_"/>
    <w:basedOn w:val="DefaultParagraphFont"/>
    <w:autoRedefine/>
    <w:qFormat/>
    <w:rPr>
      <w:rFonts w:ascii="宋体" w:eastAsia="宋体" w:hAnsi="宋体" w:cs="宋体"/>
      <w:sz w:val="54"/>
      <w:szCs w:val="54"/>
      <w:u w:val="none"/>
      <w:shd w:val="clear" w:color="auto" w:fill="auto"/>
      <w:lang w:val="zh-TW" w:eastAsia="zh-TW" w:bidi="zh-TW"/>
    </w:rPr>
  </w:style>
  <w:style w:type="paragraph" w:customStyle="1" w:styleId="Bodytext|5">
    <w:name w:val="Body text|5"/>
    <w:basedOn w:val="Normal"/>
    <w:autoRedefine/>
    <w:qFormat/>
    <w:pPr>
      <w:jc w:val="center"/>
    </w:pPr>
    <w:rPr>
      <w:rFonts w:ascii="宋体" w:eastAsia="宋体" w:hAnsi="宋体" w:cs="宋体"/>
      <w:sz w:val="54"/>
      <w:szCs w:val="54"/>
      <w:lang w:val="zh-TW" w:eastAsia="zh-TW" w:bidi="zh-TW"/>
    </w:rPr>
  </w:style>
  <w:style w:type="character" w:customStyle="1" w:styleId="Heading#1|1_">
    <w:name w:val="Heading #1|1_"/>
    <w:basedOn w:val="DefaultParagraphFont"/>
    <w:autoRedefine/>
    <w:qFormat/>
    <w:rPr>
      <w:rFonts w:ascii="宋体" w:eastAsia="宋体" w:hAnsi="宋体" w:cs="宋体"/>
      <w:sz w:val="44"/>
      <w:szCs w:val="44"/>
      <w:u w:val="none"/>
      <w:shd w:val="clear" w:color="auto" w:fill="auto"/>
      <w:lang w:val="zh-TW" w:eastAsia="zh-TW" w:bidi="zh-TW"/>
    </w:rPr>
  </w:style>
  <w:style w:type="paragraph" w:customStyle="1" w:styleId="Heading#1|1">
    <w:name w:val="Heading #1|1"/>
    <w:basedOn w:val="Normal"/>
    <w:autoRedefine/>
    <w:qFormat/>
    <w:pPr>
      <w:spacing w:after="400"/>
      <w:jc w:val="center"/>
      <w:outlineLvl w:val="0"/>
    </w:pPr>
    <w:rPr>
      <w:rFonts w:ascii="宋体" w:eastAsia="宋体" w:hAnsi="宋体" w:cs="宋体"/>
      <w:sz w:val="44"/>
      <w:szCs w:val="44"/>
      <w:lang w:val="zh-TW" w:eastAsia="zh-TW" w:bidi="zh-TW"/>
    </w:rPr>
  </w:style>
  <w:style w:type="character" w:customStyle="1" w:styleId="Headerorfooter|2_">
    <w:name w:val="Header or footer|2_"/>
    <w:basedOn w:val="DefaultParagraphFont"/>
    <w:autoRedefine/>
    <w:qFormat/>
    <w:rPr>
      <w:sz w:val="20"/>
      <w:szCs w:val="20"/>
      <w:u w:val="none"/>
      <w:shd w:val="clear" w:color="auto" w:fill="auto"/>
      <w:lang w:val="zh-TW" w:eastAsia="zh-TW" w:bidi="zh-TW"/>
    </w:rPr>
  </w:style>
  <w:style w:type="paragraph" w:customStyle="1" w:styleId="Headerorfooter|2">
    <w:name w:val="Header or footer|2"/>
    <w:basedOn w:val="Normal"/>
    <w:autoRedefine/>
    <w:qFormat/>
    <w:rPr>
      <w:sz w:val="20"/>
      <w:szCs w:val="20"/>
      <w:lang w:val="zh-TW" w:eastAsia="zh-TW" w:bidi="zh-TW"/>
    </w:rPr>
  </w:style>
  <w:style w:type="character" w:customStyle="1" w:styleId="Bodytext|2_">
    <w:name w:val="Body text|2_"/>
    <w:basedOn w:val="DefaultParagraphFont"/>
    <w:autoRedefine/>
    <w:qFormat/>
    <w:rPr>
      <w:rFonts w:ascii="宋体" w:eastAsia="宋体" w:hAnsi="宋体" w:cs="宋体"/>
      <w:sz w:val="32"/>
      <w:szCs w:val="32"/>
      <w:u w:val="none"/>
      <w:shd w:val="clear" w:color="auto" w:fill="auto"/>
      <w:lang w:val="zh-TW" w:eastAsia="zh-TW" w:bidi="zh-TW"/>
    </w:rPr>
  </w:style>
  <w:style w:type="paragraph" w:customStyle="1" w:styleId="Bodytext|2">
    <w:name w:val="Body text|2"/>
    <w:basedOn w:val="Normal"/>
    <w:autoRedefine/>
    <w:qFormat/>
    <w:pPr>
      <w:spacing w:after="240"/>
      <w:ind w:firstLine="560"/>
    </w:pPr>
    <w:rPr>
      <w:rFonts w:ascii="宋体" w:eastAsia="宋体" w:hAnsi="宋体" w:cs="宋体"/>
      <w:sz w:val="32"/>
      <w:szCs w:val="32"/>
      <w:lang w:val="zh-TW" w:eastAsia="zh-TW" w:bidi="zh-TW"/>
    </w:rPr>
  </w:style>
  <w:style w:type="character" w:customStyle="1" w:styleId="Bodytext|1_">
    <w:name w:val="Body text|1_"/>
    <w:basedOn w:val="DefaultParagraphFont"/>
    <w:autoRedefine/>
    <w:qFormat/>
    <w:rPr>
      <w:rFonts w:ascii="宋体" w:eastAsia="宋体" w:hAnsi="宋体" w:cs="宋体"/>
      <w:sz w:val="28"/>
      <w:szCs w:val="28"/>
      <w:u w:val="none"/>
      <w:shd w:val="clear" w:color="auto" w:fill="auto"/>
      <w:lang w:val="zh-TW" w:eastAsia="zh-TW" w:bidi="zh-TW"/>
    </w:rPr>
  </w:style>
  <w:style w:type="paragraph" w:customStyle="1" w:styleId="Bodytext|1">
    <w:name w:val="Body text|1"/>
    <w:basedOn w:val="Normal"/>
    <w:autoRedefine/>
    <w:qFormat/>
    <w:pPr>
      <w:spacing w:line="468" w:lineRule="auto"/>
      <w:ind w:firstLine="400"/>
    </w:pPr>
    <w:rPr>
      <w:rFonts w:ascii="宋体" w:eastAsia="宋体" w:hAnsi="宋体" w:cs="宋体"/>
      <w:sz w:val="28"/>
      <w:szCs w:val="28"/>
      <w:lang w:val="zh-TW" w:eastAsia="zh-TW" w:bidi="zh-TW"/>
    </w:rPr>
  </w:style>
  <w:style w:type="character" w:customStyle="1" w:styleId="Headerorfooter|1_">
    <w:name w:val="Header or footer|1_"/>
    <w:basedOn w:val="DefaultParagraphFont"/>
    <w:autoRedefine/>
    <w:qFormat/>
    <w:rPr>
      <w:b/>
      <w:bCs/>
      <w:sz w:val="17"/>
      <w:szCs w:val="17"/>
      <w:u w:val="none"/>
      <w:shd w:val="clear" w:color="auto" w:fill="auto"/>
      <w:lang w:val="zh-TW" w:eastAsia="zh-TW" w:bidi="zh-TW"/>
    </w:rPr>
  </w:style>
  <w:style w:type="paragraph" w:customStyle="1" w:styleId="Headerorfooter|1">
    <w:name w:val="Header or footer|1"/>
    <w:basedOn w:val="Normal"/>
    <w:autoRedefine/>
    <w:qFormat/>
    <w:rPr>
      <w:b/>
      <w:bCs/>
      <w:sz w:val="17"/>
      <w:szCs w:val="17"/>
      <w:lang w:val="zh-TW" w:eastAsia="zh-TW" w:bidi="zh-TW"/>
    </w:rPr>
  </w:style>
  <w:style w:type="character" w:customStyle="1" w:styleId="Heading#2|1_">
    <w:name w:val="Heading #2|1_"/>
    <w:basedOn w:val="DefaultParagraphFont"/>
    <w:autoRedefine/>
    <w:qFormat/>
    <w:rPr>
      <w:rFonts w:ascii="宋体" w:eastAsia="宋体" w:hAnsi="宋体" w:cs="宋体"/>
      <w:sz w:val="26"/>
      <w:szCs w:val="26"/>
      <w:u w:val="none"/>
      <w:shd w:val="clear" w:color="auto" w:fill="auto"/>
      <w:lang w:val="zh-TW" w:eastAsia="zh-TW" w:bidi="zh-TW"/>
    </w:rPr>
  </w:style>
  <w:style w:type="paragraph" w:customStyle="1" w:styleId="Heading#2|1">
    <w:name w:val="Heading #2|1"/>
    <w:basedOn w:val="Normal"/>
    <w:autoRedefine/>
    <w:qFormat/>
    <w:pPr>
      <w:spacing w:after="230"/>
      <w:jc w:val="center"/>
      <w:outlineLvl w:val="1"/>
    </w:pPr>
    <w:rPr>
      <w:rFonts w:ascii="宋体" w:eastAsia="宋体" w:hAnsi="宋体" w:cs="宋体"/>
      <w:sz w:val="26"/>
      <w:szCs w:val="26"/>
      <w:lang w:val="zh-TW" w:eastAsia="zh-TW" w:bidi="zh-TW"/>
    </w:rPr>
  </w:style>
  <w:style w:type="character" w:customStyle="1" w:styleId="Other|1_">
    <w:name w:val="Other|1_"/>
    <w:basedOn w:val="DefaultParagraphFont"/>
    <w:autoRedefine/>
    <w:qFormat/>
    <w:rPr>
      <w:rFonts w:ascii="宋体" w:eastAsia="宋体" w:hAnsi="宋体" w:cs="宋体"/>
      <w:sz w:val="28"/>
      <w:szCs w:val="28"/>
      <w:u w:val="none"/>
      <w:shd w:val="clear" w:color="auto" w:fill="auto"/>
      <w:lang w:val="zh-TW" w:eastAsia="zh-TW" w:bidi="zh-TW"/>
    </w:rPr>
  </w:style>
  <w:style w:type="paragraph" w:customStyle="1" w:styleId="Other|1">
    <w:name w:val="Other|1"/>
    <w:basedOn w:val="Normal"/>
    <w:autoRedefine/>
    <w:qFormat/>
    <w:pPr>
      <w:spacing w:line="468" w:lineRule="auto"/>
      <w:ind w:firstLine="400"/>
    </w:pPr>
    <w:rPr>
      <w:rFonts w:ascii="宋体" w:eastAsia="宋体" w:hAnsi="宋体" w:cs="宋体"/>
      <w:sz w:val="28"/>
      <w:szCs w:val="28"/>
      <w:lang w:val="zh-TW" w:eastAsia="zh-TW" w:bidi="zh-TW"/>
    </w:rPr>
  </w:style>
  <w:style w:type="character" w:customStyle="1" w:styleId="Tablecaption|1_">
    <w:name w:val="Table caption|1_"/>
    <w:basedOn w:val="DefaultParagraphFont"/>
    <w:autoRedefine/>
    <w:qFormat/>
    <w:rPr>
      <w:rFonts w:ascii="宋体" w:eastAsia="宋体" w:hAnsi="宋体" w:cs="宋体"/>
      <w:sz w:val="17"/>
      <w:szCs w:val="17"/>
      <w:u w:val="none"/>
      <w:shd w:val="clear" w:color="auto" w:fill="auto"/>
      <w:lang w:val="zh-TW" w:eastAsia="zh-TW" w:bidi="zh-TW"/>
    </w:rPr>
  </w:style>
  <w:style w:type="paragraph" w:customStyle="1" w:styleId="Tablecaption|1">
    <w:name w:val="Table caption|1"/>
    <w:basedOn w:val="Normal"/>
    <w:autoRedefine/>
    <w:qFormat/>
    <w:rPr>
      <w:rFonts w:ascii="宋体" w:eastAsia="宋体" w:hAnsi="宋体" w:cs="宋体"/>
      <w:sz w:val="17"/>
      <w:szCs w:val="17"/>
      <w:lang w:val="zh-TW" w:eastAsia="zh-TW" w:bidi="zh-TW"/>
    </w:rPr>
  </w:style>
  <w:style w:type="character" w:customStyle="1" w:styleId="Bodytext|4_">
    <w:name w:val="Body text|4_"/>
    <w:basedOn w:val="DefaultParagraphFont"/>
    <w:autoRedefine/>
    <w:qFormat/>
    <w:rPr>
      <w:rFonts w:ascii="宋体" w:eastAsia="宋体" w:hAnsi="宋体" w:cs="宋体"/>
      <w:sz w:val="17"/>
      <w:szCs w:val="17"/>
      <w:u w:val="none"/>
      <w:shd w:val="clear" w:color="auto" w:fill="auto"/>
      <w:lang w:val="zh-TW" w:eastAsia="zh-TW" w:bidi="zh-TW"/>
    </w:rPr>
  </w:style>
  <w:style w:type="paragraph" w:customStyle="1" w:styleId="Bodytext|4">
    <w:name w:val="Body text|4"/>
    <w:basedOn w:val="Normal"/>
    <w:autoRedefine/>
    <w:qFormat/>
    <w:pPr>
      <w:ind w:firstLine="680"/>
    </w:pPr>
    <w:rPr>
      <w:rFonts w:ascii="宋体" w:eastAsia="宋体" w:hAnsi="宋体" w:cs="宋体"/>
      <w:sz w:val="17"/>
      <w:szCs w:val="17"/>
      <w:lang w:val="zh-TW" w:eastAsia="zh-TW" w:bidi="zh-TW"/>
    </w:rPr>
  </w:style>
  <w:style w:type="character" w:customStyle="1" w:styleId="Bodytext|3_">
    <w:name w:val="Body text|3_"/>
    <w:basedOn w:val="DefaultParagraphFont"/>
    <w:autoRedefine/>
    <w:qFormat/>
    <w:rPr>
      <w:sz w:val="30"/>
      <w:szCs w:val="30"/>
      <w:u w:val="none"/>
      <w:shd w:val="clear" w:color="auto" w:fill="auto"/>
      <w:lang w:val="zh-TW" w:eastAsia="zh-TW" w:bidi="zh-TW"/>
    </w:rPr>
  </w:style>
  <w:style w:type="paragraph" w:customStyle="1" w:styleId="Bodytext|3">
    <w:name w:val="Body text|3"/>
    <w:basedOn w:val="Normal"/>
    <w:autoRedefine/>
    <w:qFormat/>
    <w:pPr>
      <w:spacing w:after="140" w:line="336" w:lineRule="auto"/>
      <w:ind w:firstLine="370"/>
    </w:pPr>
    <w:rPr>
      <w:sz w:val="30"/>
      <w:szCs w:val="30"/>
      <w:lang w:val="zh-TW" w:eastAsia="zh-TW" w:bidi="zh-TW"/>
    </w:r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charts/chart3.xml" Type="http://schemas.openxmlformats.org/officeDocument/2006/relationships/chart"/><Relationship Id="rId11" Target="charts/chart4.xml" Type="http://schemas.openxmlformats.org/officeDocument/2006/relationships/chart"/><Relationship Id="rId12" Target="charts/chart5.xml" Type="http://schemas.openxmlformats.org/officeDocument/2006/relationships/chart"/><Relationship Id="rId13" Target="charts/chart6.xml" Type="http://schemas.openxmlformats.org/officeDocument/2006/relationships/chart"/><Relationship Id="rId14" Target="header2.xml" Type="http://schemas.openxmlformats.org/officeDocument/2006/relationships/header"/><Relationship Id="rId15" Target="footer3.xml" Type="http://schemas.openxmlformats.org/officeDocument/2006/relationships/footer"/><Relationship Id="rId16" Target="header3.xml" Type="http://schemas.openxmlformats.org/officeDocument/2006/relationships/header"/><Relationship Id="rId17" Target="footer4.xml" Type="http://schemas.openxmlformats.org/officeDocument/2006/relationships/footer"/><Relationship Id="rId18" Target="header4.xml" Type="http://schemas.openxmlformats.org/officeDocument/2006/relationships/header"/><Relationship Id="rId19" Target="footer5.xml" Type="http://schemas.openxmlformats.org/officeDocument/2006/relationships/footer"/><Relationship Id="rId2" Target="../customXml/item2.xml" Type="http://schemas.openxmlformats.org/officeDocument/2006/relationships/customXml"/><Relationship Id="rId20" Target="header5.xml" Type="http://schemas.openxmlformats.org/officeDocument/2006/relationships/header"/><Relationship Id="rId21" Target="footer6.xml" Type="http://schemas.openxmlformats.org/officeDocument/2006/relationships/footer"/><Relationship Id="rId22" Target="header6.xml" Type="http://schemas.openxmlformats.org/officeDocument/2006/relationships/header"/><Relationship Id="rId23" Target="footer7.xml" Type="http://schemas.openxmlformats.org/officeDocument/2006/relationships/footer"/><Relationship Id="rId24" Target="theme/theme1.xml" Type="http://schemas.openxmlformats.org/officeDocument/2006/relationships/theme"/><Relationship Id="rId25" Target="styles.xml" Type="http://schemas.openxmlformats.org/officeDocument/2006/relationships/styles"/><Relationship Id="rId26" Target="webSettings.xml" Type="http://schemas.openxmlformats.org/officeDocument/2006/relationships/webSettings"/><Relationship Id="rId27" Target="numbering.xml" Type="http://schemas.openxmlformats.org/officeDocument/2006/relationships/numbering"/><Relationship Id="rId28" Target="fontTable.xml" Type="http://schemas.openxmlformats.org/officeDocument/2006/relationships/fontTable"/><Relationship Id="rId29" Target="settings.xml" Type="http://schemas.openxmlformats.org/officeDocument/2006/relationships/settings"/><Relationship Id="rId3" Target="../customXml/item3.xml" Type="http://schemas.openxmlformats.org/officeDocument/2006/relationships/customXml"/><Relationship Id="rId4" Target="../customXml/item4.xml" Type="http://schemas.openxmlformats.org/officeDocument/2006/relationships/customXml"/><Relationship Id="rId5" Target="header1.xml" Type="http://schemas.openxmlformats.org/officeDocument/2006/relationships/header"/><Relationship Id="rId6" Target="footer1.xml" Type="http://schemas.openxmlformats.org/officeDocument/2006/relationships/footer"/><Relationship Id="rId7" Target="footer2.xml" Type="http://schemas.openxmlformats.org/officeDocument/2006/relationships/footer"/><Relationship Id="rId8" Target="charts/chart1.xml" Type="http://schemas.openxmlformats.org/officeDocument/2006/relationships/chart"/><Relationship Id="rId9" Target="charts/chart2.xml" Type="http://schemas.openxmlformats.org/officeDocument/2006/relationships/chart"/></Relationships>
</file>

<file path=word/charts/_rels/chart1.xml.rels><?xml version="1.0" encoding="UTF-8" standalone="yes"?><Relationships xmlns="http://schemas.openxmlformats.org/package/2006/relationships"><Relationship Id="rId1" Target="../embeddings/Microsoft_Office_Excel_Worksheet1.xlsx" Type="http://schemas.openxmlformats.org/officeDocument/2006/relationships/package"/></Relationships>
</file>

<file path=word/charts/_rels/chart2.xml.rels><?xml version="1.0" encoding="UTF-8" standalone="yes"?><Relationships xmlns="http://schemas.openxmlformats.org/package/2006/relationships"><Relationship Id="rId1" Target="../embeddings/Microsoft_Office_Excel_Worksheet2.xlsx" Type="http://schemas.openxmlformats.org/officeDocument/2006/relationships/package"/></Relationships>
</file>

<file path=word/charts/_rels/chart3.xml.rels><?xml version="1.0" encoding="UTF-8" standalone="yes"?><Relationships xmlns="http://schemas.openxmlformats.org/package/2006/relationships"><Relationship Id="rId1" Target="../embeddings/Microsoft_Office_Excel_Worksheet3.xlsx" Type="http://schemas.openxmlformats.org/officeDocument/2006/relationships/package"/></Relationships>
</file>

<file path=word/charts/_rels/chart4.xml.rels><?xml version="1.0" encoding="UTF-8" standalone="yes"?><Relationships xmlns="http://schemas.openxmlformats.org/package/2006/relationships"><Relationship Id="rId1" Target="../embeddings/Microsoft_Office_Excel_Worksheet4.xlsx" Type="http://schemas.openxmlformats.org/officeDocument/2006/relationships/package"/></Relationships>
</file>

<file path=word/charts/_rels/chart5.xml.rels><?xml version="1.0" encoding="UTF-8" standalone="yes"?><Relationships xmlns="http://schemas.openxmlformats.org/package/2006/relationships"><Relationship Id="rId1" Target="../embeddings/Microsoft_Office_Excel_Worksheet5.xlsx" Type="http://schemas.openxmlformats.org/officeDocument/2006/relationships/package"/></Relationships>
</file>

<file path=word/charts/_rels/chart6.xml.rels><?xml version="1.0" encoding="UTF-8" standalone="yes"?><Relationships xmlns="http://schemas.openxmlformats.org/package/2006/relationships"><Relationship Id="rId1" Target="../embeddings/Microsoft_Office_Excel_Worksheet6.xlsx" Type="http://schemas.openxmlformats.org/officeDocument/2006/relationships/package"/></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rtlCol="0" anchor="t" anchorCtr="1"/>
          <a:lstStyle/>
          <a:p>
            <a:pPr algn="l">
              <a:defRPr lang="zh-CN" sz="1800" b="1" i="0" u="none" strike="noStrike" kern="1200" baseline="0">
                <a:solidFill>
                  <a:schemeClr val="tx1"/>
                </a:solidFill>
                <a:latin typeface="+mn-lt"/>
                <a:ea typeface="+mn-ea"/>
                <a:cs typeface="+mn-cs"/>
              </a:defRPr>
            </a:pPr>
            <a:r>
              <a:rPr lang="zh-CN"/>
              <a:t>部门收入总体情况</a:t>
            </a:r>
            <a:endParaRPr lang="en-US" sz="1100"/>
          </a:p>
        </c:rich>
      </c:tx>
      <c:layout/>
      <c:overlay val="0"/>
      <c:spPr>
        <a:noFill/>
        <a:ln>
          <a:noFill/>
        </a:ln>
        <a:effectLst/>
      </c:spPr>
    </c:title>
    <c:autoTitleDeleted val="0"/>
    <c:plotArea>
      <c:layout/>
      <c:pieChart>
        <c:varyColors val="1"/>
        <c:ser>
          <c:idx val="0"/>
          <c:order val="0"/>
          <c:tx>
            <c:strRef>
              <c:f>Sheet1!$B$1</c:f>
              <c:strCache>
                <c:ptCount val="1"/>
                <c:pt idx="0">
                  <c:v>countries</c:v>
                </c:pt>
              </c:strCache>
            </c:strRef>
          </c:tx>
          <c:explosion val="0"/>
          <c:dPt>
            <c:idx val="0"/>
            <c:bubble3D val="0"/>
            <c:spPr>
              <a:solidFill>
                <a:schemeClr val="accent1"/>
              </a:solidFill>
              <a:ln w="19050">
                <a:solidFill>
                  <a:schemeClr val="lt1"/>
                </a:solidFill>
              </a:ln>
              <a:effectLst/>
            </c:spPr>
          </c:dPt>
          <c:dLbls>
            <c:delete val="1"/>
          </c:dLbls>
          <c:cat>
            <c:strRef>
              <c:f>Sheet1!$A$2</c:f>
              <c:strCache>
                <c:ptCount val="1"/>
                <c:pt idx="0">
                  <c:v>一般公共预算拨款</c:v>
                </c:pt>
              </c:strCache>
            </c:strRef>
          </c:cat>
          <c:val>
            <c:numRef>
              <c:f>Sheet1!$B$2</c:f>
              <c:numCache>
                <c:ptCount val="1"/>
                <c:pt idx="0">
                  <c:v>113.11</c:v>
                </c:pt>
              </c:numCache>
            </c:numRef>
          </c:val>
        </c:ser>
        <c:dLbls>
          <c:showLegendKey val="0"/>
          <c:showVal val="0"/>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rtlCol="0" anchor="t" anchorCtr="1"/>
          <a:lstStyle/>
          <a:p>
            <a:pPr algn="l">
              <a:defRPr lang="zh-CN" sz="1800" b="1" i="0" u="none" strike="noStrike" kern="1200" baseline="0">
                <a:solidFill>
                  <a:schemeClr val="tx1"/>
                </a:solidFill>
                <a:latin typeface="+mn-lt"/>
                <a:ea typeface="+mn-ea"/>
                <a:cs typeface="+mn-cs"/>
              </a:defRPr>
            </a:pPr>
            <a:r>
              <a:rPr lang="zh-CN"/>
              <a:t>部门支出总体情况</a:t>
            </a:r>
            <a:endParaRPr lang="en-US" sz="1100"/>
          </a:p>
        </c:rich>
      </c:tx>
      <c:layout/>
      <c:overlay val="0"/>
      <c:spPr>
        <a:noFill/>
        <a:ln>
          <a:noFill/>
        </a:ln>
        <a:effectLst/>
      </c:spPr>
    </c:title>
    <c:autoTitleDeleted val="0"/>
    <c:plotArea>
      <c:layout/>
      <c:pieChart>
        <c:varyColors val="1"/>
        <c:ser>
          <c:idx val="0"/>
          <c:order val="0"/>
          <c:tx>
            <c:strRef>
              <c:f>Sheet1!$B$1</c:f>
              <c:strCache>
                <c:ptCount val="1"/>
                <c:pt idx="0">
                  <c:v>countries</c:v>
                </c:pt>
              </c:strCache>
            </c:strRef>
          </c:tx>
          <c:explosion val="0"/>
          <c:dPt>
            <c:idx val="0"/>
            <c:bubble3D val="0"/>
            <c:spPr>
              <a:solidFill>
                <a:schemeClr val="accent1"/>
              </a:solidFill>
              <a:ln w="19050">
                <a:solidFill>
                  <a:schemeClr val="lt1"/>
                </a:solidFill>
              </a:ln>
              <a:effectLst/>
            </c:spPr>
          </c:dPt>
          <c:dLbls>
            <c:delete val="1"/>
          </c:dLbls>
          <c:cat>
            <c:strRef>
              <c:f>Sheet1!$A$2:$A$5</c:f>
              <c:strCache>
                <c:ptCount val="4"/>
                <c:pt idx="0">
                  <c:v>一般公共服务支出</c:v>
                </c:pt>
                <c:pt idx="1">
                  <c:v>社会保障和就业支出</c:v>
                </c:pt>
                <c:pt idx="2">
                  <c:v>卫生健康支出</c:v>
                </c:pt>
                <c:pt idx="3">
                  <c:v>住房保障支出</c:v>
                </c:pt>
              </c:strCache>
            </c:strRef>
          </c:cat>
          <c:val>
            <c:numRef>
              <c:f>Sheet1!$B$2:$B$5</c:f>
              <c:numCache>
                <c:ptCount val="4"/>
                <c:pt idx="0">
                  <c:v>72.25</c:v>
                </c:pt>
                <c:pt idx="1">
                  <c:v>21.12</c:v>
                </c:pt>
                <c:pt idx="2">
                  <c:v>9.4</c:v>
                </c:pt>
                <c:pt idx="3">
                  <c:v>10.34</c:v>
                </c:pt>
              </c:numCache>
            </c:numRef>
          </c:val>
        </c:ser>
        <c:dLbls>
          <c:showLegendKey val="0"/>
          <c:showVal val="0"/>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rtlCol="0" anchor="t" anchorCtr="1"/>
          <a:lstStyle/>
          <a:p>
            <a:pPr algn="l">
              <a:defRPr lang="zh-CN" sz="1800" b="1" i="0" u="none" strike="noStrike" kern="1200" baseline="0">
                <a:solidFill>
                  <a:schemeClr val="tx1"/>
                </a:solidFill>
                <a:latin typeface="+mn-lt"/>
                <a:ea typeface="+mn-ea"/>
                <a:cs typeface="+mn-cs"/>
              </a:defRPr>
            </a:pPr>
            <a:r>
              <a:rPr lang="zh-CN"/>
              <a:t>财政拨款收支总体情况</a:t>
            </a:r>
            <a:endParaRPr lang="en-US" sz="1100"/>
          </a:p>
        </c:rich>
      </c:tx>
      <c:layout/>
      <c:overlay val="0"/>
      <c:spPr>
        <a:noFill/>
        <a:ln>
          <a:noFill/>
        </a:ln>
        <a:effectLst/>
      </c:spPr>
    </c:title>
    <c:autoTitleDeleted val="0"/>
    <c:plotArea>
      <c:layout/>
      <c:barChart>
        <c:barDir val="col"/>
        <c:grouping val="clustered"/>
        <c:varyColors val="0"/>
        <c:ser>
          <c:idx val="0"/>
          <c:order val="0"/>
          <c:tx>
            <c:strRef>
              <c:f>Sheet1!$B$1</c:f>
              <c:strCache>
                <c:ptCount val="1"/>
                <c:pt idx="0">
                  <c:v>上年</c:v>
                </c:pt>
              </c:strCache>
            </c:strRef>
          </c:tx>
          <c:spPr>
            <a:solidFill>
              <a:schemeClr val="accent1"/>
            </a:solidFill>
            <a:ln>
              <a:noFill/>
            </a:ln>
            <a:effectLst/>
          </c:spPr>
          <c:invertIfNegative val="0"/>
          <c:dLbls>
            <c:delete val="1"/>
          </c:dLbls>
          <c:cat>
            <c:strRef>
              <c:f>Sheet1!$A$2</c:f>
              <c:strCache>
                <c:ptCount val="1"/>
                <c:pt idx="0">
                  <c:v>收入</c:v>
                </c:pt>
              </c:strCache>
            </c:strRef>
          </c:cat>
          <c:val>
            <c:numRef>
              <c:f>Sheet1!$B$2</c:f>
              <c:numCache>
                <c:formatCode>General</c:formatCode>
                <c:ptCount val="1"/>
                <c:pt idx="0">
                  <c:v>140.01</c:v>
                </c:pt>
              </c:numCache>
            </c:numRef>
          </c:val>
        </c:ser>
        <c:ser>
          <c:idx val="1"/>
          <c:order val="1"/>
          <c:tx>
            <c:strRef>
              <c:f>Sheet1!$C$1</c:f>
              <c:strCache>
                <c:ptCount val="1"/>
                <c:pt idx="0">
                  <c:v>当年</c:v>
                </c:pt>
              </c:strCache>
            </c:strRef>
          </c:tx>
          <c:spPr>
            <a:solidFill>
              <a:schemeClr val="accent2"/>
            </a:solidFill>
            <a:ln>
              <a:noFill/>
            </a:ln>
            <a:effectLst/>
          </c:spPr>
          <c:invertIfNegative val="0"/>
          <c:dLbls>
            <c:delete val="1"/>
          </c:dLbls>
          <c:cat>
            <c:strRef>
              <c:f>Sheet1!$A$2</c:f>
              <c:strCache>
                <c:ptCount val="1"/>
                <c:pt idx="0">
                  <c:v>收入</c:v>
                </c:pt>
              </c:strCache>
            </c:strRef>
          </c:cat>
          <c:val>
            <c:numRef>
              <c:f>Sheet1!$C$2</c:f>
              <c:numCache>
                <c:formatCode>General</c:formatCode>
                <c:ptCount val="1"/>
                <c:pt idx="0">
                  <c:v>113.11</c:v>
                </c:pt>
              </c:numCache>
            </c:numRef>
          </c:val>
        </c:ser>
        <c:dLbls>
          <c:showLegendKey val="0"/>
          <c:showVal val="0"/>
          <c:showCatName val="0"/>
          <c:showSerName val="0"/>
          <c:showPercent val="0"/>
          <c:showBubbleSize val="0"/>
        </c:dLbls>
        <c:gapWidth val="219"/>
        <c:overlap val="-27"/>
        <c:axId val="811850650"/>
        <c:axId val="698020238"/>
      </c:barChart>
      <c:catAx>
        <c:axId val="811850650"/>
        <c:scaling>
          <c:orientation val="minMax"/>
        </c:scaling>
        <c:delete val="0"/>
        <c:axPos val="b"/>
        <c:numFmt formatCode="General" sourceLinked="0"/>
        <c:majorTickMark val="none"/>
        <c:minorTickMark val="none"/>
        <c:tickLblPos val="nextTo"/>
        <c:spPr>
          <a:noFill/>
          <a:ln w="9525" cap="flat" cmpd="sng" algn="ctr">
            <a:solidFill>
              <a:schemeClr val="tx1">
                <a:lumMod val="15000"/>
                <a:lumOff val="85000"/>
              </a:schemeClr>
            </a:solidFill>
            <a:prstDash val="solid"/>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698020238"/>
        <c:crosses val="autoZero"/>
        <c:auto val="1"/>
        <c:lblAlgn val="ctr"/>
        <c:lblOffset val="100"/>
        <c:noMultiLvlLbl val="0"/>
      </c:catAx>
      <c:valAx>
        <c:axId val="698020238"/>
        <c:scaling>
          <c:orientation val="minMax"/>
        </c:scaling>
        <c:delete val="0"/>
        <c:axPos val="l"/>
        <c:majorGridlines>
          <c:spPr>
            <a:ln w="9525" cap="flat" cmpd="sng" algn="ctr">
              <a:solidFill>
                <a:schemeClr val="tx1">
                  <a:lumMod val="15000"/>
                  <a:lumOff val="85000"/>
                </a:schemeClr>
              </a:solidFill>
              <a:prstDash val="solid"/>
              <a:round/>
            </a:ln>
            <a:effectLst/>
          </c:spPr>
        </c:majorGridlines>
        <c:numFmt formatCode="General" sourceLinked="1"/>
        <c:majorTickMark val="none"/>
        <c:minorTickMark val="none"/>
        <c:tickLblPos val="nextTo"/>
        <c:spPr>
          <a:noFill/>
          <a:ln w="9525" cap="flat" cmpd="sng" algn="ctr">
            <a:noFill/>
            <a:prstDash val="solid"/>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811850650"/>
        <c:crosses val="autoZero"/>
        <c:crossBetween val="between"/>
      </c:valAx>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nchor="t" rtlCol="false"/>
          <a:lstStyle/>
          <a:p>
            <a:pPr algn="l">
              <a:defRPr/>
            </a:pPr>
            <a:r>
              <a:rPr lang="zh-CN"/>
              <a:t>一般公共预算支出情况</a:t>
            </a:r>
            <a:endParaRPr lang="en-US" sz="1100"/>
          </a:p>
        </c:rich>
      </c:tx>
      <c:layout/>
      <c:overlay val="false"/>
      <c:spPr>
        <a:noFill/>
        <a:ln>
          <a:noFill/>
        </a:ln>
        <a:effectLst/>
      </c:spPr>
      <c:txPr>
        <a:bodyPr rot="0" spcFirstLastPara="0"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p>
      </c:txPr>
    </c:title>
    <c:autoTitleDeleted val="0"/>
    <c:plotArea>
      <c:layout/>
      <c:barChart>
        <c:barDir val="bar"/>
        <c:grouping val="clustered"/>
        <c:varyColors val="0"/>
        <c:ser>
          <c:idx val="0"/>
          <c:order val="0"/>
          <c:tx>
            <c:strRef>
              <c:f>Sheet1!$B$1</c:f>
              <c:strCache>
                <c:ptCount val="1"/>
                <c:pt idx="0">
                  <c:v>基本支出</c:v>
                </c:pt>
              </c:strCache>
            </c:strRef>
          </c:tx>
          <c:spPr>
            <a:solidFill>
              <a:schemeClr val="accent1"/>
            </a:solidFill>
            <a:ln>
              <a:noFill/>
            </a:ln>
            <a:effectLst/>
          </c:spPr>
          <c:invertIfNegative val="0"/>
          <c:dLbls>
            <c:delete val="1"/>
          </c:dLbls>
          <c:cat>
            <c:strRef>
              <c:f>Sheet1!$A$2</c:f>
              <c:strCache>
                <c:ptCount val="1"/>
                <c:pt idx="0">
                  <c:v>当年</c:v>
                </c:pt>
              </c:strCache>
            </c:strRef>
          </c:cat>
          <c:val>
            <c:numRef>
              <c:f>Sheet1!$B$2</c:f>
              <c:numCache>
                <c:formatCode>General</c:formatCode>
                <c:ptCount val="1"/>
                <c:pt idx="0">
                  <c:v>103.11</c:v>
                </c:pt>
              </c:numCache>
            </c:numRef>
          </c:val>
        </c:ser>
        <c:ser>
          <c:idx val="1"/>
          <c:order val="1"/>
          <c:tx>
            <c:strRef>
              <c:f>Sheet1!$C$1</c:f>
              <c:strCache>
                <c:ptCount val="1"/>
                <c:pt idx="0">
                  <c:v>结转下年支出</c:v>
                </c:pt>
              </c:strCache>
            </c:strRef>
          </c:tx>
          <c:cat>
            <c:strRef>
              <c:f>Sheet1!$A$2</c:f>
              <c:strCache>
                <c:ptCount val="1"/>
                <c:pt idx="0">
                  <c:v>当年</c:v>
                </c:pt>
              </c:strCache>
            </c:strRef>
          </c:cat>
          <c:val>
            <c:numRef>
              <c:f>Sheet1!$C$2</c:f>
              <c:numCache>
                <c:ptCount val="1"/>
                <c:pt idx="0">
                  <c:v>0.0</c:v>
                </c:pt>
              </c:numCache>
            </c:numRef>
          </c:val>
        </c:ser>
        <c:ser>
          <c:idx val="2"/>
          <c:order val="2"/>
          <c:tx>
            <c:strRef>
              <c:f>Sheet1!$D$1</c:f>
              <c:strCache>
                <c:ptCount val="1"/>
                <c:pt idx="0">
                  <c:v>项目支出</c:v>
                </c:pt>
              </c:strCache>
            </c:strRef>
          </c:tx>
          <c:cat>
            <c:strRef>
              <c:f>Sheet1!$A$2</c:f>
              <c:strCache>
                <c:ptCount val="1"/>
                <c:pt idx="0">
                  <c:v>当年</c:v>
                </c:pt>
              </c:strCache>
            </c:strRef>
          </c:cat>
          <c:val>
            <c:numRef>
              <c:f>Sheet1!$D$2</c:f>
              <c:numCache>
                <c:ptCount val="1"/>
                <c:pt idx="0">
                  <c:v>10.0</c:v>
                </c:pt>
              </c:numCache>
            </c:numRef>
          </c:val>
        </c:ser>
        <c:ser>
          <c:idx val="3"/>
          <c:order val="3"/>
          <c:tx>
            <c:strRef>
              <c:f>Sheet1!$E$1</c:f>
              <c:strCache>
                <c:ptCount val="1"/>
                <c:pt idx="0">
                  <c:v>公用经费</c:v>
                </c:pt>
              </c:strCache>
            </c:strRef>
          </c:tx>
          <c:cat>
            <c:strRef>
              <c:f>Sheet1!$A$2</c:f>
              <c:strCache>
                <c:ptCount val="1"/>
                <c:pt idx="0">
                  <c:v>当年</c:v>
                </c:pt>
              </c:strCache>
            </c:strRef>
          </c:cat>
          <c:val>
            <c:numRef>
              <c:f>Sheet1!$E$2</c:f>
              <c:numCache>
                <c:ptCount val="1"/>
                <c:pt idx="0">
                  <c:v>1.81</c:v>
                </c:pt>
              </c:numCache>
            </c:numRef>
          </c:val>
        </c:ser>
        <c:ser>
          <c:idx val="4"/>
          <c:order val="4"/>
          <c:tx>
            <c:strRef>
              <c:f>Sheet1!$F$1</c:f>
              <c:strCache>
                <c:ptCount val="1"/>
                <c:pt idx="0">
                  <c:v>人员经费</c:v>
                </c:pt>
              </c:strCache>
            </c:strRef>
          </c:tx>
          <c:cat>
            <c:strRef>
              <c:f>Sheet1!$A$2</c:f>
              <c:strCache>
                <c:ptCount val="1"/>
                <c:pt idx="0">
                  <c:v>当年</c:v>
                </c:pt>
              </c:strCache>
            </c:strRef>
          </c:cat>
          <c:val>
            <c:numRef>
              <c:f>Sheet1!$F$2</c:f>
              <c:numCache>
                <c:ptCount val="1"/>
                <c:pt idx="0">
                  <c:v>101.3</c:v>
                </c:pt>
              </c:numCache>
            </c:numRef>
          </c:val>
        </c:ser>
        <c:dLbls>
          <c:showLegendKey val="0"/>
          <c:showVal val="0"/>
          <c:showCatName val="0"/>
          <c:showSerName val="0"/>
          <c:showPercent val="0"/>
          <c:showBubbleSize val="0"/>
        </c:dLbls>
        <c:gapWidth val="182"/>
        <c:overlap val="0"/>
        <c:axId val="691519273"/>
        <c:axId val="850134922"/>
      </c:barChart>
      <c:catAx>
        <c:axId val="691519273"/>
        <c:scaling>
          <c:orientation val="minMax"/>
        </c:scaling>
        <c:delete val="1"/>
        <c:axPos val="l"/>
        <c:majorTickMark val="none"/>
        <c:minorTickMark val="none"/>
        <c:tickLblPos val="nextTo"/>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850134922"/>
        <c:crosses val="autoZero"/>
        <c:auto val="1"/>
        <c:lblAlgn val="ctr"/>
        <c:lblOffset val="100"/>
        <c:noMultiLvlLbl val="0"/>
      </c:catAx>
      <c:valAx>
        <c:axId val="850134922"/>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691519273"/>
        <c:crosses val="autoZero"/>
        <c:crossBetween val="between"/>
      </c:valAx>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nchor="t" rtlCol="false"/>
          <a:lstStyle/>
          <a:p>
            <a:pPr algn="l">
              <a:defRPr/>
            </a:pPr>
            <a:r>
              <a:rPr lang="zh-CN"/>
              <a:t>一般公共预算基本支出情况</a:t>
            </a:r>
            <a:endParaRPr lang="en-US" sz="1100"/>
          </a:p>
        </c:rich>
      </c:tx>
      <c:layout/>
      <c:overlay val="false"/>
      <c:spPr>
        <a:noFill/>
        <a:ln>
          <a:noFill/>
        </a:ln>
        <a:effectLst/>
      </c:spPr>
      <c:txPr>
        <a:bodyPr rot="0" spcFirstLastPara="0"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p>
      </c:txPr>
    </c:title>
    <c:autoTitleDeleted val="0"/>
    <c:plotArea>
      <c:layout/>
      <c:pieChart>
        <c:varyColors val="1"/>
        <c:ser>
          <c:idx val="0"/>
          <c:order val="0"/>
          <c:tx>
            <c:strRef>
              <c:f>Sheet1!$B$1</c:f>
              <c:strCache>
                <c:ptCount val="1"/>
                <c:pt idx="0">
                  <c:v>countries</c:v>
                </c:pt>
              </c:strCache>
            </c:strRef>
          </c:tx>
          <c:spPr/>
          <c:explosion val="0"/>
          <c:dPt>
            <c:idx val="0"/>
            <c:bubble3D val="0"/>
            <c:spPr>
              <a:solidFill>
                <a:schemeClr val="accent1"/>
              </a:solidFill>
              <a:ln w="19050">
                <a:solidFill>
                  <a:schemeClr val="lt1"/>
                </a:solidFill>
              </a:ln>
              <a:effectLst/>
            </c:spPr>
          </c:dPt>
          <c:dLbls>
            <c:delete val="1"/>
          </c:dLbls>
          <c:cat>
            <c:strRef>
              <c:f>Sheet1!$A$2:$A$3</c:f>
              <c:strCache>
                <c:ptCount val="2"/>
                <c:pt idx="0">
                  <c:v>人员经费</c:v>
                </c:pt>
                <c:pt idx="1">
                  <c:v>公用经费</c:v>
                </c:pt>
              </c:strCache>
            </c:strRef>
          </c:cat>
          <c:val>
            <c:numRef>
              <c:f>Sheet1!$B$2:$B$3</c:f>
              <c:numCache>
                <c:ptCount val="2"/>
                <c:pt idx="0">
                  <c:v>101.3</c:v>
                </c:pt>
                <c:pt idx="1">
                  <c:v>1.81</c:v>
                </c:pt>
              </c:numCache>
            </c:numRef>
          </c:val>
        </c:ser>
        <c:dLbls>
          <c:showLegendKey val="0"/>
          <c:showVal val="0"/>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rtlCol="0" anchor="t" anchorCtr="1"/>
          <a:lstStyle/>
          <a:p>
            <a:pPr algn="l">
              <a:defRPr lang="zh-CN" sz="1800" b="1" i="0" u="none" strike="noStrike" kern="1200" baseline="0">
                <a:solidFill>
                  <a:schemeClr val="tx1"/>
                </a:solidFill>
                <a:latin typeface="+mn-lt"/>
                <a:ea typeface="+mn-ea"/>
                <a:cs typeface="+mn-cs"/>
              </a:defRPr>
            </a:pPr>
            <a:r>
              <a:rPr lang="zh-CN"/>
              <a:t>一般公共预算“三公”经费安排情况</a:t>
            </a:r>
            <a:endParaRPr lang="en-US" sz="1100"/>
          </a:p>
        </c:rich>
      </c:tx>
      <c:layout/>
      <c:overlay val="0"/>
      <c:spPr>
        <a:noFill/>
        <a:ln>
          <a:noFill/>
        </a:ln>
        <a:effectLst/>
      </c:spPr>
    </c:title>
    <c:autoTitleDeleted val="0"/>
    <c:plotArea>
      <c:layout/>
      <c:barChart>
        <c:barDir val="col"/>
        <c:grouping val="clustered"/>
        <c:varyColors val="0"/>
        <c:ser>
          <c:idx val="0"/>
          <c:order val="0"/>
          <c:tx>
            <c:strRef>
              <c:f>Sheet1!$B$1</c:f>
              <c:strCache>
                <c:ptCount val="1"/>
                <c:pt idx="0">
                  <c:v>上年</c:v>
                </c:pt>
              </c:strCache>
            </c:strRef>
          </c:tx>
          <c:spPr>
            <a:solidFill>
              <a:schemeClr val="accent1"/>
            </a:solidFill>
            <a:ln>
              <a:noFill/>
            </a:ln>
            <a:effectLst/>
          </c:spPr>
          <c:invertIfNegative val="0"/>
          <c:dLbls>
            <c:delete val="1"/>
          </c:dLbls>
          <c:cat>
            <c:strRef>
              <c:f>Sheet1!$A$2:$A$4</c:f>
              <c:strCache>
                <c:ptCount val="3"/>
                <c:pt idx="0">
                  <c:v>因公出国（境）经费预算</c:v>
                </c:pt>
                <c:pt idx="1">
                  <c:v>公务接待费预算</c:v>
                </c:pt>
                <c:pt idx="2">
                  <c:v>公务用车购置及运行费预算</c:v>
                </c:pt>
              </c:strCache>
            </c:strRef>
          </c:cat>
          <c:val>
            <c:numRef>
              <c:f>Sheet1!$B$2:$B$4</c:f>
              <c:numCache>
                <c:formatCode>General</c:formatCode>
                <c:ptCount val="3"/>
                <c:pt idx="0">
                  <c:v>0.0</c:v>
                </c:pt>
                <c:pt idx="1">
                  <c:v>0.0</c:v>
                </c:pt>
                <c:pt idx="2">
                  <c:v>2.0</c:v>
                </c:pt>
              </c:numCache>
            </c:numRef>
          </c:val>
        </c:ser>
        <c:ser>
          <c:idx val="1"/>
          <c:order val="1"/>
          <c:tx>
            <c:strRef>
              <c:f>Sheet1!$C$1</c:f>
              <c:strCache>
                <c:ptCount val="1"/>
                <c:pt idx="0">
                  <c:v>当年</c:v>
                </c:pt>
              </c:strCache>
            </c:strRef>
          </c:tx>
          <c:invertIfNegative val="0"/>
          <c:dLbls>
            <c:delete val="1"/>
          </c:dLbls>
          <c:cat>
            <c:strRef>
              <c:f>Sheet1!$A$2:$A$4</c:f>
              <c:strCache>
                <c:ptCount val="3"/>
                <c:pt idx="0">
                  <c:v>因公出国（境）经费预算</c:v>
                </c:pt>
                <c:pt idx="1">
                  <c:v>公务接待费预算</c:v>
                </c:pt>
                <c:pt idx="2">
                  <c:v>公务用车购置及运行费预算</c:v>
                </c:pt>
              </c:strCache>
            </c:strRef>
          </c:cat>
          <c:val>
            <c:numRef>
              <c:f>Sheet1!$C$2:$C$4</c:f>
              <c:numCache>
                <c:formatCode>General</c:formatCode>
                <c:ptCount val="3"/>
                <c:pt idx="0">
                  <c:v>0.0</c:v>
                </c:pt>
                <c:pt idx="1">
                  <c:v>0.0</c:v>
                </c:pt>
                <c:pt idx="2">
                  <c:v>2.0</c:v>
                </c:pt>
              </c:numCache>
            </c:numRef>
          </c:val>
        </c:ser>
        <c:dLbls>
          <c:showLegendKey val="0"/>
          <c:showVal val="0"/>
          <c:showCatName val="0"/>
          <c:showSerName val="0"/>
          <c:showPercent val="0"/>
          <c:showBubbleSize val="0"/>
        </c:dLbls>
        <c:gapWidth val="182"/>
        <c:overlap val="0"/>
        <c:axId val="587647791"/>
        <c:axId val="468612210"/>
      </c:barChart>
      <c:catAx>
        <c:axId val="587647791"/>
        <c:scaling>
          <c:orientation val="minMax"/>
        </c:scaling>
        <c:delete val="0"/>
        <c:axPos val="b"/>
        <c:numFmt formatCode="General" sourceLinked="0"/>
        <c:majorTickMark val="none"/>
        <c:minorTickMark val="none"/>
        <c:tickLblPos val="nextTo"/>
        <c:spPr>
          <a:noFill/>
          <a:ln w="9525" cap="flat" cmpd="sng" algn="ctr">
            <a:solidFill>
              <a:schemeClr val="tx1">
                <a:lumMod val="15000"/>
                <a:lumOff val="85000"/>
              </a:schemeClr>
            </a:solidFill>
            <a:prstDash val="solid"/>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468612210"/>
        <c:crosses val="autoZero"/>
        <c:auto val="1"/>
        <c:lblAlgn val="ctr"/>
        <c:lblOffset val="100"/>
        <c:noMultiLvlLbl val="0"/>
      </c:catAx>
      <c:valAx>
        <c:axId val="468612210"/>
        <c:scaling>
          <c:orientation val="minMax"/>
        </c:scaling>
        <c:delete val="0"/>
        <c:axPos val="l"/>
        <c:majorGridlines>
          <c:spPr>
            <a:ln w="9525" cap="flat" cmpd="sng" algn="ctr">
              <a:solidFill>
                <a:schemeClr val="tx1">
                  <a:lumMod val="15000"/>
                  <a:lumOff val="85000"/>
                </a:schemeClr>
              </a:solidFill>
              <a:prstDash val="solid"/>
              <a:round/>
            </a:ln>
            <a:effectLst/>
          </c:spPr>
        </c:majorGridlines>
        <c:numFmt formatCode="General" sourceLinked="1"/>
        <c:majorTickMark val="none"/>
        <c:minorTickMark val="none"/>
        <c:tickLblPos val="nextTo"/>
        <c:spPr>
          <a:noFill/>
          <a:ln w="9525" cap="flat" cmpd="sng" algn="ctr">
            <a:noFill/>
            <a:prstDash val="solid"/>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587647791"/>
        <c:crosses val="autoZero"/>
        <c:crossBetween val="between"/>
      </c:valAx>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_rels/item3.xml.rels><?xml version="1.0" encoding="UTF-8" standalone="yes"?><Relationships xmlns="http://schemas.openxmlformats.org/package/2006/relationships"><Relationship Id="rId1" Target="itemProps3.xml" Type="http://schemas.openxmlformats.org/officeDocument/2006/relationships/customXmlProps"/></Relationships>
</file>

<file path=customXml/_rels/item4.xml.rels><?xml version="1.0" encoding="UTF-8" standalone="yes"?><Relationships xmlns="http://schemas.openxmlformats.org/package/2006/relationships"><Relationship Id="rId1" Target="itemProps4.xml" Type="http://schemas.openxmlformats.org/officeDocument/2006/relationships/customXmlProps"/></Relationships>
</file>

<file path=customXml/item1.xml><?xml version="1.0" encoding="utf-8"?>
<cp:coreProperties xmlns:cp="http://schemas.openxmlformats.org/package/2006/metadata/core-properties" xmlns:dc="http://purl.org/dc/elements/1.1/" xmlns:dcterms="http://purl.org/dc/terms/" xmlns:xsi="http://www.w3.org/2001/XMLSchema-instance">
  <dcterms:created xsi:type="dcterms:W3CDTF">2023-02-07T06:11:00Z</dcterms:created>
  <dc:creator>蔡冬冬</dc:creator>
  <cp:lastModifiedBy>向左走</cp:lastModifiedBy>
  <dcterms:modified xsi:type="dcterms:W3CDTF">2024-03-28T00:59:43Z</dcterms:modified>
  <cp:revision>3</cp:revision>
</cp:coreProperties>
</file>

<file path=customXml/item2.xml><?xml version="1.0" encoding="utf-8"?>
<Properties xmlns="http://schemas.openxmlformats.org/officeDocument/2006/extended-properties" xmlns:vt="http://schemas.openxmlformats.org/officeDocument/2006/docPropsVTypes">
  <Template>Normal.dotm</Template>
  <Pages>35</Pages>
  <Words>8576</Words>
  <Characters>11046</Characters>
  <Lines>105</Lines>
  <Paragraphs>29</Paragraphs>
  <TotalTime>28</TotalTime>
  <ScaleCrop>false</ScaleCrop>
  <LinksUpToDate>false</LinksUpToDate>
  <CharactersWithSpaces>11333</CharactersWithSpaces>
  <Application>WPS Office_12.1.0.16417_F1E327BC-269C-435d-A152-05C5408002CA</Application>
  <DocSecurity>0</DocSecurity>
</Properties>
</file>

<file path=customXml/item3.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188945CC6C5F40C69E357AB1C734F899_13</vt:lpwstr>
  </property>
</Properties>
</file>

<file path=customXml/item4.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
  <ds:schemaRefs/>
</ds:datastoreItem>
</file>

<file path=customXml/itemProps2.xml><?xml version="1.0" encoding="utf-8"?>
<ds:datastoreItem xmlns:ds="http://schemas.openxmlformats.org/officeDocument/2006/customXml" ds:itemID="">
  <ds:schemaRefs/>
</ds:datastoreItem>
</file>

<file path=customXml/itemProps3.xml><?xml version="1.0" encoding="utf-8"?>
<ds:datastoreItem xmlns:ds="http://schemas.openxmlformats.org/officeDocument/2006/customXml" ds:itemID="">
  <ds:schemaRefs/>
</ds:datastoreItem>
</file>

<file path=customXml/itemProps4.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vt="http://schemas.openxmlformats.org/officeDocument/2006/docPropsVTypes" xmlns="http://schemas.openxmlformats.org/officeDocument/2006/extended-properties">
  <Template>Normal.dotm</Template>
  <TotalTime>28</TotalTime>
  <Pages>35</Pages>
  <Words>8576</Words>
  <Characters>11046</Characters>
  <Application>WPS Office_12.1.0.16417_F1E327BC-269C-435d-A152-05C5408002CA</Application>
  <DocSecurity>0</DocSecurity>
  <Lines>105</Lines>
  <Paragraphs>29</Paragraphs>
  <CharactersWithSpaces>11333</CharactersWithSpaces>
  <AppVersion>15.0000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2023-02-07T06:11:00Z</dcterms:created>
  <dc:creator>蔡冬冬</dc:creator>
  <cp:lastModifiedBy>向左走</cp:lastModifiedBy>
  <dcterms:modified xsi:type="dcterms:W3CDTF">2024-05-22T02:52:05Z</dcterms:modified>
  <cp:revision>3</cp:revision>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str>2052-12.1.0.16417</vt:lpstr>
  </property>
  <property fmtid="{D5CDD505-2E9C-101B-9397-08002B2CF9AE}" pid="3" name="ICV">
    <vt:lpstr>188945CC6C5F40C69E357AB1C734F899_13</vt:lpstr>
  </property>
</Properties>
</file>