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Bodytext|5"/>
        <w:jc w:val="center"/>
        <w:rPr>
          <w:rFonts w:ascii="华文中宋" w:eastAsia="华文中宋" w:hAnsi="华文中宋" w:cs="华文中宋" w:hint="eastAsia"/>
          <w:sz w:val="44"/>
          <w:szCs w:val="44"/>
          <w:lang w:eastAsia="zh-CN"/>
        </w:rPr>
      </w:pPr>
      <w:r>
        <w:rPr>
          <w:rFonts w:ascii="华文中宋" w:eastAsia="华文中宋" w:hAnsi="华文中宋" w:cs="华文中宋" w:hint="eastAsia"/>
          <w:sz w:val="44"/>
          <w:szCs w:val="44"/>
          <w:lang w:eastAsia="zh-CN"/>
        </w:rPr>
        <w:t xml:space="preserve">河池市食品药品检验所</w:t>
      </w:r>
    </w:p>
    <w:p>
      <w:pPr>
        <w:pStyle w:val="Bodytext|5"/>
        <w:jc w:val="center"/>
        <w:rPr>
          <w:rFonts w:ascii="宋体" w:eastAsia="宋体" w:hAnsi="宋体" w:asciiTheme="minorEastAsia" w:eastAsiaTheme="minorEastAsia" w:hAnsiTheme="minorEastAsia" w:cs="Arial" w:cstheme="minorEastAsia" w:hint="eastAsia"/>
          <w:sz w:val="32"/>
          <w:szCs w:val="32"/>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ascii="华文中宋" w:eastAsia="华文中宋" w:hAnsi="华文中宋" w:cs="华文中宋" w:hint="eastAsia"/>
          <w:sz w:val="44"/>
          <w:szCs w:val="44"/>
          <w:lang w:eastAsia="zh-CN"/>
        </w:rPr>
        <w:t xml:space="preserve">2024</w:t>
      </w:r>
      <w:r>
        <w:rPr>
          <w:rFonts w:ascii="华文中宋" w:eastAsia="华文中宋" w:hAnsi="华文中宋" w:cs="华文中宋" w:hint="eastAsia"/>
          <w:sz w:val="44"/>
          <w:szCs w:val="44"/>
          <w:u w:color="auto"/>
        </w:rPr>
        <w:t xml:space="preserve">年</w:t>
      </w:r>
      <w:r>
        <w:rPr>
          <w:rFonts w:ascii="华文中宋" w:eastAsia="华文中宋" w:hAnsi="华文中宋" w:cs="华文中宋" w:hint="eastAsia"/>
          <w:sz w:val="44"/>
          <w:szCs w:val="44"/>
        </w:rPr>
        <w:t xml:space="preserve">度部门预算</w:t>
      </w:r>
      <w:r>
        <w:rPr>
          <w:rFonts w:ascii="华文中宋" w:eastAsia="华文中宋" w:hAnsi="华文中宋" w:cs="华文中宋" w:hint="eastAsia"/>
          <w:sz w:val="44"/>
          <w:szCs w:val="44"/>
          <w:lang w:val="en-US" w:eastAsia="zh-CN"/>
        </w:rPr>
        <w:t xml:space="preserve">公开及“三公”经费预算编制说明</w:t>
      </w:r>
    </w:p>
    <w:p>
      <w:pPr>
        <w:pStyle w:val="Heading#1|1"/>
        <w:keepNext/>
        <w:keepLines/>
        <w:spacing w:after="240"/>
        <w:jc w:val="center"/>
        <w:rPr>
          <w:rFonts w:ascii="黑体" w:eastAsia="黑体" w:hAnsi="黑体" w:cs="黑体" w:hint="eastAsia"/>
          <w:sz w:val="32"/>
          <w:szCs w:val="32"/>
        </w:rPr>
      </w:pPr>
      <w:bookmarkStart w:id="0" w:name="bookmark2"/>
      <w:bookmarkStart w:id="1" w:name="bookmark0"/>
      <w:bookmarkStart w:id="2" w:name="bookmark1"/>
      <w:r>
        <w:rPr>
          <w:rFonts w:ascii="黑体" w:eastAsia="黑体" w:hAnsi="黑体" w:cs="黑体" w:hint="eastAsia"/>
          <w:sz w:val="32"/>
          <w:szCs w:val="32"/>
        </w:rPr>
        <w:t xml:space="preserve">目</w:t>
      </w:r>
      <w:r>
        <w:rPr>
          <w:rFonts w:ascii="黑体" w:eastAsia="黑体" w:hAnsi="黑体" w:cs="黑体" w:hint="eastAsia"/>
          <w:sz w:val="32"/>
          <w:szCs w:val="32"/>
        </w:rPr>
        <w:t xml:space="preserve">录</w:t>
      </w:r>
      <w:bookmarkEnd w:id="0"/>
      <w:bookmarkEnd w:id="1"/>
      <w:bookmarkEnd w:id="2"/>
    </w:p>
    <w:p>
      <w:pPr>
        <w:pStyle w:val="Bodytext|2"/>
        <w:ind w:left="0" w:firstLine="320" w:leftChars="0" w:firstLineChars="100"/>
        <w:jc w:val="left"/>
        <w:rPr>
          <w:rFonts w:ascii="黑体" w:eastAsia="黑体" w:hAnsi="黑体" w:cs="黑体" w:hint="eastAsia"/>
          <w:sz w:val="32"/>
          <w:szCs w:val="32"/>
        </w:rPr>
      </w:pPr>
      <w:r>
        <w:rPr>
          <w:rFonts w:ascii="黑体" w:eastAsia="黑体" w:hAnsi="黑体" w:cs="黑体" w:hint="eastAsia"/>
          <w:sz w:val="32"/>
          <w:szCs w:val="32"/>
        </w:rPr>
        <w:t xml:space="preserve">第一部分</w:t>
      </w:r>
      <w:r>
        <w:rPr>
          <w:rFonts w:ascii="黑体" w:eastAsia="黑体" w:hAnsi="黑体" w:cs="黑体" w:hint="eastAsia"/>
          <w:sz w:val="32"/>
          <w:szCs w:val="32"/>
          <w:lang w:eastAsia="zh-CN"/>
        </w:rPr>
        <w:t xml:space="preserve">：</w:t>
      </w:r>
      <w:r>
        <w:rPr>
          <w:rFonts w:ascii="黑体" w:eastAsia="黑体" w:hAnsi="黑体" w:cs="黑体"/>
          <w:sz w:val="32"/>
          <w:u w:color="auto"/>
        </w:rPr>
        <w:t xml:space="preserve">河池市食品药品检验所</w:t>
      </w:r>
      <w:r>
        <w:rPr>
          <w:rFonts w:ascii="黑体" w:eastAsia="黑体" w:hAnsi="黑体" w:cs="黑体"/>
          <w:sz w:val="32"/>
          <w:u w:color="auto"/>
        </w:rPr>
        <w:t xml:space="preserve">单位</w:t>
      </w:r>
      <w:r>
        <w:rPr>
          <w:rFonts w:ascii="黑体" w:eastAsia="黑体" w:hAnsi="黑体" w:cs="黑体" w:hint="eastAsia"/>
          <w:sz w:val="32"/>
          <w:szCs w:val="32"/>
        </w:rPr>
        <w:t xml:space="preserve">概况</w:t>
      </w:r>
    </w:p>
    <w:p>
      <w:pPr>
        <w:pStyle w:val="Bodytext|2"/>
        <w:jc w:val="left"/>
        <w:rPr>
          <w:rFonts w:ascii="宋体" w:eastAsia="宋体" w:hAnsi="宋体" w:asciiTheme="minorEastAsia" w:eastAsiaTheme="minorEastAsia" w:hAnsiTheme="minorEastAsia" w:cs="Arial" w:cstheme="minorEastAsia" w:hint="eastAsia"/>
          <w:b w:val="0"/>
          <w:bCs w:val="0"/>
          <w:sz w:val="32"/>
          <w:szCs w:val="32"/>
          <w:lang w:val="en-US" w:eastAsia="zh-CN"/>
        </w:rPr>
      </w:pP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一、主要职责</w:t>
      </w:r>
    </w:p>
    <w:p>
      <w:pPr>
        <w:pStyle w:val="Bodytext|2"/>
        <w:jc w:val="left"/>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二、</w:t>
      </w:r>
      <w:r>
        <w:rPr>
          <w:rFonts w:ascii="宋体" w:eastAsia="宋体" w:hAnsi="宋体" w:asciiTheme="minorEastAsia" w:eastAsiaTheme="minorEastAsia" w:hAnsiTheme="minorEastAsia" w:cs="Arial" w:cstheme="minorEastAsia" w:hint="eastAsia"/>
          <w:b w:val="0"/>
          <w:bCs w:val="0"/>
          <w:sz w:val="32"/>
          <w:szCs w:val="32"/>
        </w:rPr>
        <w:t xml:space="preserve">机构设置情况</w:t>
      </w:r>
    </w:p>
    <w:p>
      <w:pPr>
        <w:pStyle w:val="Bodytext|2"/>
        <w:ind w:left="0" w:firstLine="320" w:leftChars="0" w:firstLineChars="100"/>
        <w:jc w:val="left"/>
        <w:rPr>
          <w:rFonts w:ascii="黑体" w:eastAsia="黑体" w:hAnsi="黑体" w:cs="黑体" w:hint="eastAsia"/>
          <w:sz w:val="32"/>
          <w:szCs w:val="32"/>
        </w:rPr>
      </w:pPr>
      <w:r>
        <w:rPr>
          <w:rFonts w:ascii="黑体" w:eastAsia="黑体" w:hAnsi="黑体" w:cs="黑体" w:hint="eastAsia"/>
          <w:sz w:val="32"/>
          <w:szCs w:val="32"/>
        </w:rPr>
        <w:t xml:space="preserve">第二部分</w:t>
      </w:r>
      <w:r>
        <w:rPr>
          <w:rFonts w:ascii="黑体" w:eastAsia="黑体" w:hAnsi="黑体" w:cs="黑体" w:hint="eastAsia"/>
          <w:sz w:val="32"/>
          <w:szCs w:val="32"/>
          <w:lang w:eastAsia="zh-CN"/>
        </w:rPr>
        <w:t xml:space="preserve">：</w:t>
      </w:r>
      <w:r>
        <w:rPr>
          <w:rFonts w:ascii="黑体" w:eastAsia="黑体" w:hAnsi="黑体" w:cs="黑体"/>
          <w:sz w:val="32"/>
          <w:u w:color="auto"/>
        </w:rPr>
        <w:t xml:space="preserve">河池市食品药品检验所</w:t>
      </w:r>
      <w:r>
        <w:rPr>
          <w:rFonts w:ascii="黑体" w:eastAsia="黑体" w:hAnsi="黑体" w:cs="黑体"/>
          <w:sz w:val="32"/>
          <w:u w:color="auto"/>
        </w:rPr>
        <w:t xml:space="preserve">2024</w:t>
      </w:r>
      <w:r>
        <w:rPr>
          <w:rFonts w:ascii="黑体" w:eastAsia="黑体" w:hAnsi="黑体" w:cs="黑体" w:hint="eastAsia"/>
          <w:sz w:val="32"/>
          <w:szCs w:val="32"/>
        </w:rPr>
        <w:t xml:space="preserve">部门预算情况说明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一、部门收支总体情况说明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二、部门收入总体情况说明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三、部门支出总体情况说明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四、财政拨款收支总体情况说明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五、一般公共预算支出情况说明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六、一般公共预算基本支出情况说明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七、一般公共预算“三公”经费支出情况说明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八、政府性基金预算支出情况说明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九、国有资本经营预算支出情况说明</w:t>
      </w:r>
    </w:p>
    <w:p>
      <w:pPr>
        <w:pStyle w:val="Bodytext|2"/>
        <w:numPr>
          <w:ilvl w:val="0"/>
          <w:numId w:val="0"/>
        </w:numPr>
        <w:ind w:firstLine="640" w:firstLineChars="20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十、其他重要事项情况说明</w:t>
      </w:r>
    </w:p>
    <w:p>
      <w:pPr>
        <w:pStyle w:val="Bodytext|2"/>
        <w:ind w:left="0" w:firstLine="320" w:leftChars="0" w:firstLineChars="100"/>
        <w:jc w:val="left"/>
        <w:rPr>
          <w:rFonts w:ascii="黑体" w:eastAsia="黑体" w:hAnsi="黑体" w:cs="黑体" w:hint="eastAsia"/>
          <w:sz w:val="32"/>
          <w:szCs w:val="32"/>
        </w:rPr>
      </w:pPr>
      <w:r>
        <w:rPr>
          <w:rFonts w:ascii="黑体" w:eastAsia="黑体" w:hAnsi="黑体" w:cs="黑体" w:hint="eastAsia"/>
          <w:sz w:val="32"/>
          <w:szCs w:val="32"/>
        </w:rPr>
        <w:t xml:space="preserve">第三部分</w:t>
      </w:r>
      <w:r>
        <w:rPr>
          <w:rFonts w:ascii="黑体" w:eastAsia="黑体" w:hAnsi="黑体" w:cs="黑体" w:hint="eastAsia"/>
          <w:sz w:val="32"/>
          <w:szCs w:val="32"/>
          <w:lang w:eastAsia="zh-CN"/>
        </w:rPr>
        <w:t xml:space="preserve">：</w:t>
      </w:r>
      <w:r>
        <w:rPr>
          <w:rFonts w:ascii="黑体" w:eastAsia="黑体" w:hAnsi="黑体" w:cs="黑体"/>
          <w:sz w:val="32"/>
          <w:u w:color="auto"/>
        </w:rPr>
        <w:t xml:space="preserve">河池市食品药品检验所</w:t>
      </w:r>
      <w:r>
        <w:rPr>
          <w:rFonts w:ascii="黑体" w:eastAsia="黑体" w:hAnsi="黑体" w:cs="黑体"/>
          <w:sz w:val="32"/>
          <w:u w:color="auto"/>
        </w:rPr>
        <w:t xml:space="preserve">2024</w:t>
      </w:r>
      <w:r>
        <w:rPr>
          <w:rFonts w:ascii="黑体" w:eastAsia="黑体" w:hAnsi="黑体" w:cs="黑体" w:hint="eastAsia"/>
          <w:sz w:val="32"/>
          <w:szCs w:val="32"/>
          <w:u w:color="auto"/>
        </w:rPr>
        <w:t xml:space="preserve">年</w:t>
      </w:r>
      <w:r>
        <w:rPr>
          <w:rFonts w:ascii="黑体" w:eastAsia="黑体" w:hAnsi="黑体" w:cs="黑体" w:hint="eastAsia"/>
          <w:sz w:val="32"/>
          <w:szCs w:val="32"/>
        </w:rPr>
        <w:t xml:space="preserve">部门预算</w:t>
      </w:r>
      <w:r>
        <w:rPr>
          <w:rFonts w:ascii="黑体" w:eastAsia="黑体" w:hAnsi="黑体" w:cs="黑体" w:hint="eastAsia"/>
          <w:sz w:val="32"/>
          <w:szCs w:val="32"/>
          <w:lang w:val="en-US" w:eastAsia="zh-CN"/>
        </w:rPr>
        <w:t xml:space="preserve">相关报</w:t>
      </w:r>
      <w:r>
        <w:rPr>
          <w:rFonts w:ascii="黑体" w:eastAsia="黑体" w:hAnsi="黑体" w:cs="黑体" w:hint="eastAsia"/>
          <w:sz w:val="32"/>
          <w:szCs w:val="32"/>
        </w:rPr>
        <w:t xml:space="preserve">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一、部门收支总体情况表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二、部门收入总体情况表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三、部门支出总体情况表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四、财政拨款收支总体情况表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五、一般公共预算支出情况表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六、一般公共预算基本支出情况表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七、一般公共预算“三公”经费支出情况表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八、政府性基金预算支出情况表</w:t>
      </w:r>
    </w:p>
    <w:p>
      <w:pPr>
        <w:pStyle w:val="Bodytext|2"/>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九、国有资本经营预算支出情况表</w:t>
      </w:r>
    </w:p>
    <w:p>
      <w:pPr>
        <w:pStyle w:val="Bodytext|2"/>
        <w:jc w:val="left"/>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rPr>
        <w:t xml:space="preserve">十、2024年度预算项目绩效目标公开表</w:t>
      </w:r>
    </w:p>
    <w:p>
      <w:pPr>
        <w:pStyle w:val="Bodytext|2"/>
        <w:ind w:left="0" w:firstLine="320" w:leftChars="0" w:firstLineChars="100"/>
        <w:jc w:val="left"/>
        <w:rPr>
          <w:rFonts w:ascii="宋体" w:eastAsia="宋体" w:hAnsi="宋体" w:asciiTheme="minorEastAsia" w:eastAsiaTheme="minorEastAsia" w:hAnsiTheme="minorEastAsia" w:cs="Arial" w:cstheme="minorEastAsia" w:hint="eastAsia"/>
          <w:sz w:val="32"/>
          <w:szCs w:val="32"/>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rPr>
          <w:rFonts w:ascii="黑体" w:eastAsia="黑体" w:hAnsi="黑体" w:cs="黑体" w:hint="eastAsia"/>
          <w:sz w:val="32"/>
          <w:szCs w:val="32"/>
        </w:rPr>
        <w:t xml:space="preserve">第四部分</w:t>
      </w:r>
      <w:r>
        <w:rPr>
          <w:rFonts w:ascii="黑体" w:eastAsia="黑体" w:hAnsi="黑体" w:cs="黑体" w:hint="eastAsia"/>
          <w:sz w:val="32"/>
          <w:szCs w:val="32"/>
          <w:lang w:eastAsia="zh-CN"/>
        </w:rPr>
        <w:t xml:space="preserve">：</w:t>
      </w:r>
      <w:r>
        <w:rPr>
          <w:rFonts w:ascii="黑体" w:eastAsia="黑体" w:hAnsi="黑体" w:cs="黑体" w:hint="eastAsia"/>
          <w:sz w:val="32"/>
          <w:szCs w:val="32"/>
        </w:rPr>
        <w:t xml:space="preserve">名词</w:t>
      </w:r>
      <w:r>
        <w:rPr>
          <w:rFonts w:ascii="黑体" w:eastAsia="黑体" w:hAnsi="黑体" w:cs="黑体" w:hint="eastAsia"/>
          <w:sz w:val="32"/>
          <w:szCs w:val="32"/>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rFonts w:ascii="黑体" w:eastAsia="黑体" w:hAnsi="黑体" w:cs="黑体" w:hint="eastAsia"/>
          <w:b w:val="0"/>
          <w:bCs w:val="0"/>
          <w:sz w:val="32"/>
          <w:szCs w:val="32"/>
        </w:rPr>
      </w:pPr>
      <w:bookmarkStart w:id="3" w:name="bookmark13"/>
      <w:bookmarkStart w:id="4" w:name="bookmark12"/>
      <w:bookmarkStart w:id="5" w:name="bookmark14"/>
      <w:r>
        <w:rPr>
          <w:rFonts w:ascii="黑体" w:eastAsia="黑体" w:hAnsi="黑体" w:cs="黑体" w:hint="eastAsia"/>
          <w:b w:val="0"/>
          <w:bCs w:val="0"/>
          <w:sz w:val="32"/>
          <w:szCs w:val="32"/>
        </w:rPr>
        <w:t xml:space="preserve">第一部分</w:t>
      </w:r>
      <w:r>
        <w:rPr>
          <w:rFonts w:ascii="黑体" w:eastAsia="黑体" w:hAnsi="黑体" w:cs="黑体" w:hint="eastAsia"/>
          <w:b w:val="0"/>
          <w:bCs w:val="0"/>
          <w:sz w:val="32"/>
          <w:szCs w:val="32"/>
          <w:lang w:eastAsia="zh-CN"/>
        </w:rPr>
        <w:t xml:space="preserve">：</w:t>
      </w:r>
      <w:r>
        <w:rPr>
          <w:rFonts w:ascii="黑体" w:eastAsia="黑体" w:hAnsi="黑体" w:cs="黑体"/>
          <w:sz w:val="32"/>
          <w:u w:color="auto"/>
        </w:rPr>
        <w:t xml:space="preserve">河池市食品药品检验所</w:t>
      </w:r>
      <w:r>
        <w:rPr>
          <w:rFonts w:ascii="黑体" w:eastAsia="黑体" w:hAnsi="黑体" w:cs="黑体" w:hint="eastAsia"/>
          <w:b w:val="0"/>
          <w:bCs w:val="0"/>
          <w:sz w:val="32"/>
          <w:szCs w:val="32"/>
        </w:rPr>
        <w:t xml:space="preserve">概况</w:t>
      </w:r>
      <w:bookmarkEnd w:id="3"/>
      <w:bookmarkEnd w:id="4"/>
      <w:bookmarkEnd w:id="5"/>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rPr>
      </w:pPr>
      <w:r>
        <w:rPr>
          <w:rFonts w:ascii="宋体" w:eastAsia="宋体" w:hAnsi="宋体" w:asciiTheme="minorEastAsia" w:eastAsiaTheme="minorEastAsia" w:hAnsiTheme="minorEastAsia" w:cs="Arial" w:cstheme="minorEastAsia" w:hint="eastAsia"/>
          <w:b/>
          <w:bCs/>
          <w:sz w:val="32"/>
          <w:szCs w:val="32"/>
          <w:lang w:val="en-US" w:eastAsia="zh-CN"/>
        </w:rPr>
        <w:t xml:space="preserve">一、</w:t>
      </w:r>
      <w:r>
        <w:rPr>
          <w:rFonts w:ascii="宋体" w:eastAsia="宋体" w:hAnsi="宋体" w:asciiTheme="minorEastAsia" w:eastAsiaTheme="minorEastAsia" w:hAnsiTheme="minorEastAsia" w:cs="Arial" w:cstheme="minorEastAsia" w:hint="eastAsia"/>
          <w:b/>
          <w:bCs/>
          <w:sz w:val="32"/>
          <w:szCs w:val="32"/>
        </w:rPr>
        <w:t xml:space="preserve">主要职责</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1、负责河池市行政辖区内食品餐饮服务、保健食品、化妆品、药品、医疗器械的检验工作。</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2、负责指导河池市所辖行政区域内药品和医疗器械生产、经营、使用单位、餐饮服务企业、保健食品和化妆品生产、经营单位质量检验机构相关业务技术工作。</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3、完成主管部门交办的其他任务。</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lang w:val="en-US" w:eastAsia="zh-CN"/>
        </w:rPr>
      </w:pPr>
      <w:bookmarkStart w:id="6" w:name="bookmark24"/>
      <w:r>
        <w:rPr>
          <w:rFonts w:ascii="宋体" w:eastAsia="宋体" w:hAnsi="宋体" w:asciiTheme="minorEastAsia" w:eastAsiaTheme="minorEastAsia" w:hAnsiTheme="minorEastAsia" w:cs="Arial" w:cstheme="minorEastAsia" w:hint="eastAsia"/>
          <w:b/>
          <w:bCs/>
          <w:sz w:val="32"/>
          <w:szCs w:val="32"/>
          <w:lang w:val="en-US" w:eastAsia="zh-CN"/>
        </w:rPr>
        <w:t xml:space="preserve">二</w:t>
      </w:r>
      <w:bookmarkEnd w:id="6"/>
      <w:r>
        <w:rPr>
          <w:rFonts w:ascii="宋体" w:eastAsia="宋体" w:hAnsi="宋体" w:asciiTheme="minorEastAsia" w:eastAsiaTheme="minorEastAsia" w:hAnsiTheme="minorEastAsia" w:cs="Arial" w:cstheme="minorEastAsia" w:hint="eastAsia"/>
          <w:b/>
          <w:bCs/>
          <w:sz w:val="32"/>
          <w:szCs w:val="32"/>
          <w:lang w:val="en-US" w:eastAsia="zh-CN"/>
        </w:rPr>
        <w:t xml:space="preserve">、机构设置情况</w:t>
      </w:r>
    </w:p>
    <w:p>
      <w:pPr>
        <w:pStyle w:val="Bodytext|1"/>
        <w:spacing w:line="623" w:lineRule="exact"/>
        <w:ind w:left="0" w:firstLine="640" w:leftChars="0" w:firstLineChars="20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一）根据《自治区人民政府关于印发广西壮族自治区药品监督管理体制改革实施方案的通知》（桂政发[2002]95号）和自治区编委《关于全区药品检验机构设置等问题的批复》（桂编〔2002〕82号）的精神，设置河池药品检验所，为自治区药品监督管理局的直属机构，辖区河池市所属行政区域。2004年9月经广西壮族自治区机构编制委员会桂编[2004]69号文及桂编办函[2005]63号文批准，更名为广西壮族自治区河池食品药品检验所，根据2008年6月桂编〔2008〕52号文批准，增挂“河池药品不良反应监测中心”。2017年8月根据桂编[2017]118号《关于划转广西壮族自治区河池食品药品检验所有关问题的通知》和河政办发[2017]155号《河池市人民政府办公室关于印发河池市食品药品检验检测机构管理机制调整实施方案的通知》，单位划归地方政府，为河池市食品药品监督管理局的二层机构。单位原共设一科六室，分别为：业务技术室、办公室、人事教育科、中药室、生测室、化学室、抽样监督室。2013年根据桂食药监函[2013]142、181号文，增设不良反应监测办公室、食品室、保化室、质量控制办公室，我所按工作需求，现共设一科九室，下划后科室设置保持不变。2019年根据河编办发[2019]85号《中共河池市委员会机构编制委员会办公室关于调整河池市市场监管局所属事业单位机构编制事项的通知》，单位划归为河池市市场监督管理局的二层机构。2020年根据河编办[2020]11号《中共河池市委员会机构编制委员关于印发《河池市食品药品检验所职能配置、内设机构和人员编制规定》的通知》文，单位更名为河池市食品药品检验所。</w:t>
      </w:r>
    </w:p>
    <w:p>
      <w:pPr>
        <w:pStyle w:val="Bodytext|1"/>
        <w:spacing w:line="623" w:lineRule="exact"/>
        <w:ind w:firstLine="1018" w:firstLineChars="0"/>
        <w:jc w:val="left"/>
        <w:rPr>
          <w:rFonts w:ascii="宋体" w:eastAsia="宋体" w:hAnsi="宋体" w:asciiTheme="minorEastAsia" w:eastAsiaTheme="minorEastAsia" w:hAnsiTheme="minorEastAsia" w:cs="Arial" w:cstheme="minorEastAsia" w:hint="eastAsia"/>
          <w:sz w:val="32"/>
          <w:szCs w:val="32"/>
          <w:highlight w:val="none"/>
          <w:lang w:val="en-US" w:eastAsia="zh-CN"/>
        </w:rPr>
      </w:pPr>
    </w:p>
    <w:p>
      <w:pPr>
        <w:pStyle w:val="Bodytext|1"/>
        <w:spacing w:line="623" w:lineRule="exact"/>
        <w:ind w:firstLine="1018" w:firstLineChars="0"/>
        <w:jc w:val="left"/>
        <w:rPr>
          <w:rFonts w:ascii="宋体" w:eastAsia="宋体" w:hAnsi="宋体" w:asciiTheme="minorEastAsia" w:eastAsiaTheme="minorEastAsia" w:hAnsiTheme="minorEastAsia" w:cs="Arial" w:cstheme="minorEastAsia" w:hint="eastAsia"/>
          <w:sz w:val="32"/>
          <w:szCs w:val="32"/>
          <w:highlight w:val="none"/>
          <w:lang w:val="en-US" w:eastAsia="zh-CN"/>
        </w:rPr>
      </w:pPr>
    </w:p>
    <w:p>
      <w:pPr>
        <w:rPr>
          <w:rFonts w:ascii="宋体" w:eastAsia="宋体" w:hAnsi="宋体" w:asciiTheme="minorEastAsia" w:eastAsiaTheme="minorEastAsia" w:hAnsiTheme="minorEastAsia" w:cs="Arial" w:cstheme="minorEastAsia" w:hint="eastAsia"/>
          <w:sz w:val="32"/>
          <w:szCs w:val="32"/>
        </w:rPr>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rFonts w:ascii="黑体" w:eastAsia="黑体" w:hAnsi="黑体" w:cs="黑体" w:hint="eastAsia"/>
          <w:b w:val="0"/>
          <w:bCs w:val="0"/>
          <w:sz w:val="32"/>
          <w:szCs w:val="32"/>
        </w:rPr>
      </w:pPr>
      <w:bookmarkStart w:id="7" w:name="bookmark69"/>
      <w:bookmarkStart w:id="8" w:name="bookmark68"/>
      <w:bookmarkStart w:id="9" w:name="bookmark70"/>
      <w:bookmarkStart w:id="10" w:name="bookmark26"/>
      <w:bookmarkStart w:id="11" w:name="bookmark28"/>
      <w:bookmarkStart w:id="12" w:name="bookmark27"/>
      <w:r>
        <w:rPr>
          <w:rFonts w:ascii="黑体" w:eastAsia="黑体" w:hAnsi="黑体" w:cs="黑体" w:hint="eastAsia"/>
          <w:b w:val="0"/>
          <w:bCs w:val="0"/>
          <w:sz w:val="32"/>
          <w:szCs w:val="32"/>
        </w:rPr>
        <w:t xml:space="preserve">第</w:t>
      </w:r>
      <w:r>
        <w:rPr>
          <w:rFonts w:ascii="黑体" w:eastAsia="黑体" w:hAnsi="黑体" w:cs="黑体" w:hint="eastAsia"/>
          <w:b w:val="0"/>
          <w:bCs w:val="0"/>
          <w:sz w:val="32"/>
          <w:szCs w:val="32"/>
          <w:lang w:val="en-US" w:eastAsia="zh-CN"/>
        </w:rPr>
        <w:t xml:space="preserve">二</w:t>
      </w:r>
      <w:r>
        <w:rPr>
          <w:rFonts w:ascii="黑体" w:eastAsia="黑体" w:hAnsi="黑体" w:cs="黑体" w:hint="eastAsia"/>
          <w:b w:val="0"/>
          <w:bCs w:val="0"/>
          <w:sz w:val="32"/>
          <w:szCs w:val="32"/>
        </w:rPr>
        <w:t xml:space="preserve">部分</w:t>
      </w:r>
      <w:r>
        <w:rPr>
          <w:rFonts w:ascii="黑体" w:eastAsia="黑体" w:hAnsi="黑体" w:cs="黑体" w:hint="eastAsia"/>
          <w:b w:val="0"/>
          <w:bCs w:val="0"/>
          <w:sz w:val="32"/>
          <w:szCs w:val="32"/>
          <w:lang w:eastAsia="zh-CN"/>
        </w:rPr>
        <w:t xml:space="preserve">：</w:t>
      </w:r>
      <w:bookmarkEnd w:id="7"/>
      <w:bookmarkEnd w:id="8"/>
      <w:bookmarkEnd w:id="9"/>
      <w:r>
        <w:rPr>
          <w:rFonts w:ascii="黑体" w:eastAsia="黑体" w:hAnsi="黑体" w:cs="黑体" w:hint="eastAsia"/>
          <w:b w:val="0"/>
          <w:bCs w:val="0"/>
          <w:sz w:val="32"/>
          <w:szCs w:val="32"/>
          <w:lang w:eastAsia="zh-CN"/>
        </w:rPr>
        <w:t xml:space="preserve">河池市食品药品检验所</w:t>
      </w:r>
      <w:r>
        <w:rPr>
          <w:rFonts w:ascii="黑体" w:eastAsia="黑体" w:hAnsi="黑体" w:cs="黑体"/>
          <w:sz w:val="32"/>
          <w:u w:color="auto"/>
        </w:rPr>
        <w:t xml:space="preserve">2024</w:t>
      </w:r>
      <w:r>
        <w:rPr>
          <w:rFonts w:ascii="黑体" w:eastAsia="黑体" w:hAnsi="黑体" w:cs="黑体"/>
          <w:sz w:val="32"/>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bookmarkStart w:id="13" w:name="bookmark71"/>
      <w:r>
        <w:rPr>
          <w:rFonts w:ascii="宋体" w:eastAsia="宋体" w:hAnsi="宋体" w:asciiTheme="minorEastAsia" w:eastAsiaTheme="minorEastAsia" w:hAnsiTheme="minorEastAsia" w:cs="Arial" w:cstheme="minorEastAsia" w:hint="eastAsia"/>
          <w:b/>
          <w:bCs/>
          <w:sz w:val="32"/>
          <w:szCs w:val="32"/>
          <w:lang w:val="en-US" w:eastAsia="zh-CN"/>
        </w:rPr>
        <w:t xml:space="preserve">一</w:t>
      </w:r>
      <w:bookmarkEnd w:id="13"/>
      <w:r>
        <w:rPr>
          <w:rFonts w:ascii="宋体" w:eastAsia="宋体" w:hAnsi="宋体" w:asciiTheme="minorEastAsia" w:eastAsiaTheme="minorEastAsia" w:hAnsiTheme="minorEastAsia" w:cs="Arial" w:cstheme="minorEastAsia" w:hint="eastAsia"/>
          <w:b/>
          <w:bCs/>
          <w:sz w:val="32"/>
          <w:szCs w:val="32"/>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val="0"/>
          <w:bCs w:val="0"/>
          <w:sz w:val="32"/>
          <w:szCs w:val="32"/>
        </w:rPr>
        <w:t xml:space="preserve">我部门总收入</w:t>
      </w:r>
      <w:r>
        <w:rPr>
          <w:rFonts w:ascii="宋体" w:eastAsia="宋体" w:hAnsi="宋体" w:asciiTheme="minorEastAsia" w:eastAsiaTheme="minorEastAsia" w:hAnsiTheme="minorEastAsia" w:cs="Arial" w:cstheme="minorEastAsia" w:hint="eastAsia"/>
          <w:sz w:val="32"/>
          <w:szCs w:val="32"/>
          <w:lang w:val="en-US" w:eastAsia="zh-CN"/>
        </w:rPr>
        <w:t xml:space="preserve">765.95</w:t>
      </w:r>
      <w:r>
        <w:rPr>
          <w:rFonts w:ascii="宋体" w:eastAsia="宋体" w:hAnsi="宋体" w:asciiTheme="minorEastAsia" w:eastAsiaTheme="minorEastAsia" w:hAnsiTheme="minorEastAsia" w:cs="Arial" w:cstheme="minorEastAsia" w:hint="eastAsia"/>
          <w:b w:val="0"/>
          <w:bCs w:val="0"/>
          <w:sz w:val="32"/>
          <w:szCs w:val="32"/>
        </w:rPr>
        <w:t xml:space="preserve">万元，总支出</w:t>
      </w:r>
      <w:r>
        <w:rPr>
          <w:rFonts w:ascii="宋体" w:eastAsia="宋体" w:hAnsi="宋体" w:asciiTheme="minorEastAsia" w:eastAsiaTheme="minorEastAsia" w:hAnsiTheme="minorEastAsia" w:cs="Arial" w:cstheme="minorEastAsia" w:hint="eastAsia"/>
          <w:sz w:val="32"/>
          <w:szCs w:val="32"/>
          <w:lang w:val="en-US" w:eastAsia="zh-CN"/>
        </w:rPr>
        <w:t xml:space="preserve">765.95</w:t>
      </w:r>
      <w:r>
        <w:rPr>
          <w:rFonts w:ascii="宋体" w:eastAsia="宋体" w:hAnsi="宋体" w:asciiTheme="minorEastAsia" w:eastAsiaTheme="minorEastAsia" w:hAnsiTheme="minorEastAsia" w:cs="Arial" w:cstheme="minorEastAsia" w:hint="eastAsia"/>
          <w:b w:val="0"/>
          <w:bCs w:val="0"/>
          <w:sz w:val="32"/>
          <w:szCs w:val="32"/>
        </w:rPr>
        <w:t xml:space="preserve">万元。总收入较2023年度预算数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612.23</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增加153.72</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增长25.11%</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基本项目收入拨款612.95万元,同比增加153.72万元，增长33.47%；项目收入拨款153万元，与去年同比无变化。纳入公共财政预算管理的非税收入拨款0万元，与去年同比无变化</w:t>
      </w:r>
      <w:r>
        <w:rPr>
          <w:rFonts w:ascii="宋体" w:eastAsia="宋体" w:hAnsi="宋体" w:asciiTheme="minorEastAsia" w:eastAsiaTheme="minorEastAsia" w:hAnsiTheme="minorEastAsia" w:cs="Arial" w:cstheme="minorEastAsia" w:hint="eastAsia"/>
          <w:b w:val="0"/>
          <w:bCs w:val="0"/>
          <w:sz w:val="32"/>
          <w:szCs w:val="32"/>
        </w:rPr>
        <w:t xml:space="preserve">。总支出较2023年度预算数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612.23</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增加153.72</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sz w:val="32"/>
          <w:szCs w:val="32"/>
        </w:rPr>
        <w:t xml:space="preserve">增长25.11%</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基本支出拨款612.95万元,同比增加153.72万元，增长33.47%；项目支出拨款153万元，与去年同比无变化。纳入公共财政预算管理的非税收入拨款0万元，与去年同比无变化</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二、部门收入总体情况说明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drawing>
          <wp:inline distT="0" distB="0" distL="114300" distR="114300">
            <wp:extent cx="4257040" cy="3139440"/>
            <wp:effectExtent l="4445" t="4445" r="5715" b="18415"/>
            <wp:docPr id="1069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u w:color="auto"/>
          <w:lang w:eastAsia="zh-CN"/>
        </w:rPr>
        <w:t xml:space="preserve">2024</w:t>
      </w:r>
      <w:r>
        <w:rPr>
          <w:rFonts w:ascii="宋体" w:eastAsia="宋体" w:hAnsi="宋体" w:asciiTheme="minorEastAsia" w:eastAsiaTheme="minorEastAsia" w:hAnsiTheme="minorEastAsia" w:cs="Arial" w:cstheme="minorEastAsia" w:hint="eastAsia"/>
          <w:sz w:val="32"/>
          <w:szCs w:val="32"/>
          <w:u w:color="auto"/>
        </w:rPr>
        <w:t xml:space="preserve">年我部门总收入</w:t>
      </w:r>
      <w:r>
        <w:rPr>
          <w:rFonts w:ascii="宋体" w:eastAsia="宋体" w:hAnsi="宋体" w:asciiTheme="minorEastAsia" w:eastAsiaTheme="minorEastAsia" w:hAnsiTheme="minorEastAsia" w:cs="Arial" w:cstheme="minorEastAsia" w:hint="eastAsia"/>
          <w:sz w:val="32"/>
          <w:szCs w:val="32"/>
          <w:lang w:val="en-US" w:eastAsia="zh-CN"/>
        </w:rPr>
        <w:t xml:space="preserve">765.95</w:t>
      </w:r>
      <w:r>
        <w:rPr>
          <w:rFonts w:ascii="宋体" w:eastAsia="宋体" w:hAnsi="宋体" w:asciiTheme="minorEastAsia" w:eastAsiaTheme="minorEastAsia" w:hAnsiTheme="minorEastAsia" w:cs="Arial" w:cstheme="minorEastAsia" w:hint="eastAsia"/>
          <w:sz w:val="32"/>
          <w:szCs w:val="32"/>
          <w:u w:color="auto"/>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612.23</w:t>
      </w:r>
      <w:r>
        <w:rPr>
          <w:rFonts w:ascii="宋体" w:eastAsia="宋体" w:hAnsi="宋体" w:asciiTheme="minorEastAsia" w:eastAsiaTheme="minorEastAsia" w:hAnsiTheme="minorEastAsia" w:cs="Arial" w:cstheme="minorEastAsia" w:hint="eastAsia"/>
          <w:sz w:val="32"/>
          <w:szCs w:val="32"/>
          <w:u w:color="auto"/>
        </w:rPr>
        <w:t xml:space="preserve">万元，</w:t>
      </w:r>
      <w:r>
        <w:rPr>
          <w:rFonts w:ascii="宋体" w:eastAsia="宋体" w:hAnsi="宋体" w:asciiTheme="minorEastAsia" w:eastAsiaTheme="minorEastAsia" w:hAnsiTheme="minorEastAsia" w:cs="Arial" w:cstheme="minorEastAsia" w:hint="eastAsia"/>
          <w:sz w:val="32"/>
          <w:szCs w:val="32"/>
        </w:rPr>
        <w:t xml:space="preserve">增加153.72</w:t>
      </w:r>
      <w:r>
        <w:rPr>
          <w:rFonts w:ascii="宋体" w:eastAsia="宋体" w:hAnsi="宋体" w:asciiTheme="minorEastAsia" w:eastAsiaTheme="minorEastAsia" w:hAnsiTheme="minorEastAsia" w:cs="Arial" w:cstheme="minorEastAsia" w:hint="eastAsia"/>
          <w:sz w:val="32"/>
          <w:szCs w:val="32"/>
          <w:u w:color="auto"/>
        </w:rPr>
        <w:t xml:space="preserve">万元，</w:t>
      </w:r>
      <w:r>
        <w:rPr>
          <w:rFonts w:ascii="宋体" w:eastAsia="宋体" w:hAnsi="宋体" w:asciiTheme="minorEastAsia" w:eastAsiaTheme="minorEastAsia" w:hAnsiTheme="minorEastAsia" w:cs="Arial" w:cstheme="minorEastAsia" w:hint="eastAsia"/>
          <w:sz w:val="32"/>
          <w:szCs w:val="32"/>
        </w:rPr>
        <w:t xml:space="preserve">增长25.11%</w:t>
      </w:r>
      <w:r>
        <w:rPr>
          <w:rFonts w:ascii="宋体" w:eastAsia="宋体" w:hAnsi="宋体" w:asciiTheme="minorEastAsia" w:eastAsiaTheme="minorEastAsia" w:hAnsiTheme="minorEastAsia" w:cs="Arial" w:cstheme="minorEastAsia" w:hint="eastAsia"/>
          <w:sz w:val="32"/>
          <w:szCs w:val="32"/>
          <w:u w:color="auto"/>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基本支出收入拨款612.95万元,同比增加153.72万元，增长33.47%；项目支出收入拨款153万元，与去年同比无变化。纳入公共财政预算管理的非税收入拨款0万元，与去年同比无变化</w:t>
      </w:r>
      <w:r>
        <w:rPr>
          <w:rFonts w:ascii="宋体" w:eastAsia="宋体" w:hAnsi="宋体" w:asciiTheme="minorEastAsia" w:eastAsiaTheme="minorEastAsia" w:hAnsiTheme="minorEastAsia" w:cs="Arial" w:cstheme="minorEastAsia" w:hint="eastAsia"/>
          <w:sz w:val="32"/>
          <w:szCs w:val="32"/>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三、部门支出总体情况说明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drawing>
          <wp:inline distT="0" distB="0" distL="114300" distR="114300">
            <wp:extent cx="5080000" cy="3810000"/>
            <wp:effectExtent l="4445" t="4445" r="20955" b="14605"/>
            <wp:docPr id="1069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2024</w:t>
      </w:r>
      <w:r>
        <w:rPr>
          <w:sz w:val="32"/>
          <w:u w:color="auto"/>
        </w:rPr>
        <w:t xml:space="preserve">年我部门总支出</w:t>
      </w:r>
      <w:r>
        <w:rPr>
          <w:rFonts w:ascii="宋体" w:eastAsia="宋体" w:hAnsi="宋体" w:asciiTheme="minorEastAsia" w:eastAsiaTheme="minorEastAsia" w:hAnsiTheme="minorEastAsia" w:cs="Arial" w:cstheme="minorEastAsia" w:hint="eastAsia"/>
          <w:sz w:val="32"/>
          <w:szCs w:val="32"/>
          <w:lang w:val="en-US" w:eastAsia="zh-CN"/>
        </w:rPr>
        <w:t xml:space="preserve">765.95</w:t>
      </w:r>
      <w:r>
        <w:rPr>
          <w:rFonts w:ascii="宋体" w:eastAsia="宋体" w:hAnsi="宋体" w:asciiTheme="minorEastAsia" w:eastAsiaTheme="minorEastAsia" w:hAnsiTheme="minorEastAsia" w:cs="Arial" w:cstheme="minorEastAsia" w:hint="eastAsia"/>
          <w:sz w:val="32"/>
          <w:szCs w:val="32"/>
          <w:lang w:eastAsia="zh-CN"/>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612.23</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rPr>
        <w:t xml:space="preserve">增加153.72</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rPr>
        <w:t xml:space="preserve">增长25.11%</w:t>
      </w:r>
      <w:r>
        <w:rPr>
          <w:rFonts w:ascii="宋体" w:eastAsia="宋体" w:hAnsi="宋体" w:asciiTheme="minorEastAsia" w:eastAsiaTheme="minorEastAsia" w:hAnsiTheme="minorEastAsia" w:cs="Arial" w:cstheme="minorEastAsia" w:hint="eastAsia"/>
          <w:sz w:val="32"/>
          <w:szCs w:val="32"/>
          <w:lang w:eastAsia="zh-CN"/>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基本支出拨款612.95万元,同比增加153.72万元，同比增长33.47%；项目支出拨款153万元，与去年同比无变化。纳入公共财政预算管理的非税收入拨款0万元，与去年同比无变化</w:t>
      </w:r>
      <w:r>
        <w:rPr>
          <w:rFonts w:ascii="宋体" w:eastAsia="宋体" w:hAnsi="宋体" w:asciiTheme="minorEastAsia" w:eastAsiaTheme="minorEastAsia" w:hAnsiTheme="minorEastAsia" w:cs="Arial" w:cstheme="minorEastAsia" w:hint="eastAsia"/>
          <w:sz w:val="32"/>
          <w:szCs w:val="32"/>
          <w:lang w:eastAsia="zh-CN"/>
        </w:rPr>
        <w:t xml:space="preserve">。主要包括：</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基本支出拨款612.95万元，因绩效工资核算方式改变，在职职工的绩效工资增加，导致工资和各种工资性福利及工会经费等支出增加</w:t>
      </w:r>
      <w:r>
        <w:rPr>
          <w:rFonts w:ascii="宋体" w:eastAsia="宋体" w:hAnsi="宋体" w:asciiTheme="minorEastAsia" w:eastAsiaTheme="minorEastAsia" w:hAnsiTheme="minorEastAsia" w:cs="Arial" w:cstheme="minorEastAsia" w:hint="eastAsia"/>
          <w:sz w:val="32"/>
          <w:szCs w:val="32"/>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（一）按支出功能分类科目划分，共分为</w:t>
      </w:r>
      <w:r>
        <w:rPr>
          <w:rFonts w:ascii="宋体" w:eastAsia="宋体" w:hAnsi="宋体" w:asciiTheme="minorEastAsia" w:eastAsiaTheme="minorEastAsia" w:hAnsiTheme="minorEastAsia" w:cs="Arial" w:cstheme="minorEastAsia" w:hint="eastAsia"/>
          <w:sz w:val="32"/>
          <w:szCs w:val="32"/>
          <w:lang w:val="en-US" w:eastAsia="zh-CN"/>
        </w:rPr>
        <w:t xml:space="preserve">4</w:t>
      </w:r>
      <w:r>
        <w:rPr>
          <w:rFonts w:ascii="宋体" w:eastAsia="宋体" w:hAnsi="宋体" w:asciiTheme="minorEastAsia" w:eastAsiaTheme="minorEastAsia" w:hAnsiTheme="minorEastAsia" w:cs="Arial" w:cstheme="minorEastAsia" w:hint="eastAsia"/>
          <w:sz w:val="32"/>
          <w:szCs w:val="32"/>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1</w:t>
      </w:r>
      <w:r>
        <w:rPr>
          <w:sz w:val="32"/>
          <w:u w:color="auto"/>
        </w:rPr>
        <w:t xml:space="preserve">)</w:t>
      </w:r>
      <w:r>
        <w:rPr>
          <w:sz w:val="32"/>
          <w:u w:color="auto"/>
        </w:rPr>
        <w:t xml:space="preserve">一般公共服务支出</w:t>
      </w:r>
      <w:r>
        <w:rPr>
          <w:rFonts w:ascii="宋体" w:eastAsia="宋体" w:hAnsi="宋体" w:asciiTheme="minorEastAsia" w:eastAsiaTheme="minorEastAsia" w:hAnsiTheme="minorEastAsia" w:cs="Arial" w:cstheme="minorEastAsia" w:hint="eastAsia"/>
          <w:sz w:val="32"/>
          <w:szCs w:val="32"/>
          <w:lang w:val="en-US" w:eastAsia="zh-CN"/>
        </w:rPr>
        <w:t xml:space="preserve">569.52</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74.35%</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增加98.24</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增长20.85%</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在职职工的绩效工资增加，医疗保险提取基数增加</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2</w:t>
      </w:r>
      <w:r>
        <w:rPr>
          <w:sz w:val="32"/>
          <w:u w:color="auto"/>
        </w:rPr>
        <w:t xml:space="preserve">)</w:t>
      </w:r>
      <w:r>
        <w:rPr>
          <w:sz w:val="32"/>
          <w:u w:color="auto"/>
        </w:rPr>
        <w:t xml:space="preserve">社会保障和就业支出</w:t>
      </w:r>
      <w:r>
        <w:rPr>
          <w:rFonts w:ascii="宋体" w:eastAsia="宋体" w:hAnsi="宋体" w:asciiTheme="minorEastAsia" w:eastAsiaTheme="minorEastAsia" w:hAnsiTheme="minorEastAsia" w:cs="Arial" w:cstheme="minorEastAsia" w:hint="eastAsia"/>
          <w:sz w:val="32"/>
          <w:szCs w:val="32"/>
          <w:lang w:val="en-US" w:eastAsia="zh-CN"/>
        </w:rPr>
        <w:t xml:space="preserve">105.76</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13.81%</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增加34.55</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增长48.52%</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因绩效工资核算方式改变，在职职工的绩效工资增加，导致工资增加</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3</w:t>
      </w:r>
      <w:r>
        <w:rPr>
          <w:sz w:val="32"/>
          <w:u w:color="auto"/>
        </w:rPr>
        <w:t xml:space="preserve">)</w:t>
      </w:r>
      <w:r>
        <w:rPr>
          <w:sz w:val="32"/>
          <w:u w:color="auto"/>
        </w:rPr>
        <w:t xml:space="preserve">卫生健康支出</w:t>
      </w:r>
      <w:r>
        <w:rPr>
          <w:rFonts w:ascii="宋体" w:eastAsia="宋体" w:hAnsi="宋体" w:asciiTheme="minorEastAsia" w:eastAsiaTheme="minorEastAsia" w:hAnsiTheme="minorEastAsia" w:cs="Arial" w:cstheme="minorEastAsia" w:hint="eastAsia"/>
          <w:sz w:val="32"/>
          <w:szCs w:val="32"/>
          <w:lang w:val="en-US" w:eastAsia="zh-CN"/>
        </w:rPr>
        <w:t xml:space="preserve">44.75</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5.84%</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增加9.88</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增长28.33%</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在职职工的绩效工资增加，养老保险金提取基数增加</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4</w:t>
      </w:r>
      <w:r>
        <w:rPr>
          <w:sz w:val="32"/>
          <w:u w:color="auto"/>
        </w:rPr>
        <w:t xml:space="preserve">)</w:t>
      </w:r>
      <w:r>
        <w:rPr>
          <w:sz w:val="32"/>
          <w:u w:color="auto"/>
        </w:rPr>
        <w:t xml:space="preserve">住房保障支出</w:t>
      </w:r>
      <w:r>
        <w:rPr>
          <w:rFonts w:ascii="宋体" w:eastAsia="宋体" w:hAnsi="宋体" w:asciiTheme="minorEastAsia" w:eastAsiaTheme="minorEastAsia" w:hAnsiTheme="minorEastAsia" w:cs="Arial" w:cstheme="minorEastAsia" w:hint="eastAsia"/>
          <w:sz w:val="32"/>
          <w:szCs w:val="32"/>
          <w:lang w:val="en-US" w:eastAsia="zh-CN"/>
        </w:rPr>
        <w:t xml:space="preserve">45.94</w:t>
      </w:r>
      <w:r>
        <w:rPr>
          <w:rFonts w:ascii="宋体" w:eastAsia="宋体" w:hAnsi="宋体" w:asciiTheme="minorEastAsia" w:eastAsiaTheme="minorEastAsia" w:hAnsiTheme="minorEastAsia" w:cs="Arial" w:cstheme="minorEastAsia" w:hint="eastAsia"/>
          <w:sz w:val="32"/>
          <w:szCs w:val="32"/>
        </w:rPr>
        <w:t xml:space="preserve">万元，占支出总预算</w:t>
      </w:r>
      <w:r>
        <w:rPr>
          <w:rFonts w:ascii="宋体" w:eastAsia="宋体" w:hAnsi="宋体" w:asciiTheme="minorEastAsia" w:eastAsiaTheme="minorEastAsia" w:hAnsiTheme="minorEastAsia" w:cs="Arial" w:cstheme="minorEastAsia" w:hint="eastAsia"/>
          <w:sz w:val="32"/>
          <w:szCs w:val="32"/>
          <w:lang w:val="en-US" w:eastAsia="zh-CN"/>
        </w:rPr>
        <w:t xml:space="preserve">6.00%</w:t>
      </w:r>
      <w:r>
        <w:rPr>
          <w:rFonts w:ascii="宋体" w:eastAsia="宋体" w:hAnsi="宋体" w:asciiTheme="minorEastAsia" w:eastAsiaTheme="minorEastAsia" w:hAnsiTheme="minorEastAsia" w:cs="Arial" w:cstheme="minorEastAsia" w:hint="eastAsia"/>
          <w:sz w:val="32"/>
          <w:szCs w:val="32"/>
        </w:rPr>
        <w:t xml:space="preserve">,比上年</w:t>
      </w:r>
      <w:r>
        <w:rPr>
          <w:rFonts w:ascii="宋体" w:eastAsia="宋体" w:hAnsi="宋体" w:asciiTheme="minorEastAsia" w:eastAsiaTheme="minorEastAsia" w:hAnsiTheme="minorEastAsia" w:cs="Arial" w:cstheme="minorEastAsia" w:hint="eastAsia"/>
          <w:sz w:val="32"/>
          <w:szCs w:val="32"/>
          <w:lang w:val="en-US" w:eastAsia="zh-CN"/>
        </w:rPr>
        <w:t xml:space="preserve">增加11.06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增长31.71%</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highlight w:val="none"/>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在职职工的绩效工资增加，住房公积金提取基数增加</w:t>
      </w:r>
      <w:r>
        <w:rPr>
          <w:rFonts w:ascii="宋体" w:eastAsia="宋体" w:hAnsi="宋体" w:asciiTheme="minorEastAsia" w:eastAsiaTheme="minorEastAsia" w:hAnsiTheme="minorEastAsia" w:cs="Arial" w:cstheme="minorEastAsia" w:hint="eastAsia"/>
          <w:sz w:val="32"/>
          <w:szCs w:val="32"/>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基本支出预算</w:t>
      </w:r>
      <w:r>
        <w:rPr>
          <w:rFonts w:ascii="宋体" w:eastAsia="宋体" w:hAnsi="宋体" w:asciiTheme="minorEastAsia" w:eastAsiaTheme="minorEastAsia" w:hAnsiTheme="minorEastAsia" w:cs="Arial" w:cstheme="minorEastAsia" w:hint="eastAsia"/>
          <w:sz w:val="32"/>
          <w:szCs w:val="32"/>
          <w:lang w:val="en-US" w:eastAsia="zh-CN"/>
        </w:rPr>
        <w:t xml:space="preserve">612.95</w:t>
      </w:r>
      <w:r>
        <w:rPr>
          <w:rFonts w:ascii="宋体" w:eastAsia="宋体" w:hAnsi="宋体" w:asciiTheme="minorEastAsia" w:eastAsiaTheme="minorEastAsia" w:hAnsiTheme="minorEastAsia" w:cs="Arial" w:cstheme="minorEastAsia" w:hint="eastAsia"/>
          <w:sz w:val="32"/>
          <w:szCs w:val="32"/>
        </w:rPr>
        <w:t xml:space="preserve">万元，占支出预算</w:t>
      </w:r>
      <w:r>
        <w:rPr>
          <w:sz w:val="32"/>
          <w:u w:color="auto"/>
        </w:rPr>
        <w:t xml:space="preserve">80.02%</w:t>
      </w:r>
      <w:r>
        <w:rPr>
          <w:sz w:val="32"/>
          <w:u w:color="auto"/>
        </w:rPr>
        <w:t xml:space="preserve">,比上年</w:t>
      </w:r>
      <w:r>
        <w:rPr>
          <w:sz w:val="32"/>
          <w:u w:color="auto"/>
        </w:rPr>
        <w:t xml:space="preserve">增加153.72</w:t>
      </w:r>
      <w:r>
        <w:rPr>
          <w:sz w:val="32"/>
          <w:u w:color="auto"/>
        </w:rPr>
        <w:t xml:space="preserve">万元，</w:t>
      </w:r>
      <w:r>
        <w:rPr>
          <w:sz w:val="32"/>
          <w:u w:color="auto"/>
        </w:rPr>
        <w:t xml:space="preserve">增长33.47%</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1</w:t>
      </w:r>
      <w:r>
        <w:rPr>
          <w:sz w:val="32"/>
          <w:u w:color="auto"/>
        </w:rPr>
        <w:t xml:space="preserve">)</w:t>
      </w:r>
      <w:r>
        <w:rPr>
          <w:sz w:val="32"/>
          <w:u w:color="auto"/>
        </w:rPr>
        <w:t xml:space="preserve">工资福利支出</w:t>
      </w:r>
      <w:r>
        <w:rPr>
          <w:rFonts w:ascii="宋体" w:eastAsia="宋体" w:hAnsi="宋体" w:asciiTheme="minorEastAsia" w:eastAsiaTheme="minorEastAsia" w:hAnsiTheme="minorEastAsia" w:cs="Arial" w:cstheme="minorEastAsia" w:hint="eastAsia"/>
          <w:sz w:val="32"/>
          <w:szCs w:val="32"/>
          <w:lang w:val="en-US" w:eastAsia="zh-CN"/>
        </w:rPr>
        <w:t xml:space="preserve">573.58</w:t>
      </w:r>
      <w:r>
        <w:rPr>
          <w:rFonts w:ascii="宋体" w:eastAsia="宋体" w:hAnsi="宋体" w:asciiTheme="minorEastAsia" w:eastAsiaTheme="minorEastAsia" w:hAnsiTheme="minorEastAsia" w:cs="Arial" w:cstheme="minorEastAsia" w:hint="eastAsia"/>
          <w:sz w:val="32"/>
          <w:szCs w:val="32"/>
        </w:rPr>
        <w:t xml:space="preserve">万元，占基本支出总预算</w:t>
      </w:r>
      <w:r>
        <w:rPr>
          <w:rFonts w:ascii="宋体" w:eastAsia="宋体" w:hAnsi="宋体" w:asciiTheme="minorEastAsia" w:eastAsiaTheme="minorEastAsia" w:hAnsiTheme="minorEastAsia" w:cs="Arial" w:cstheme="minorEastAsia" w:hint="eastAsia"/>
          <w:sz w:val="32"/>
          <w:szCs w:val="32"/>
          <w:lang w:val="en-US" w:eastAsia="zh-CN"/>
        </w:rPr>
        <w:t xml:space="preserve">93.58%</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增长138.95</w:t>
      </w:r>
      <w:r>
        <w:rPr>
          <w:sz w:val="32"/>
          <w:u w:color="auto"/>
        </w:rPr>
        <w:t xml:space="preserve">万元，</w:t>
      </w:r>
      <w:r>
        <w:rPr>
          <w:sz w:val="32"/>
          <w:u w:color="auto"/>
        </w:rPr>
        <w:t xml:space="preserve">增长31.97%</w:t>
      </w:r>
      <w:r>
        <w:rPr>
          <w:sz w:val="32"/>
          <w:u w:color="auto"/>
        </w:rPr>
        <w:t xml:space="preserve">,主要原因是：因绩效工资核算方式改变，在职职工的绩效工资增加，导致工资增加</w:t>
      </w:r>
      <w:r>
        <w:rPr>
          <w:rFonts w:ascii="宋体" w:eastAsia="宋体" w:hAnsi="宋体" w:asciiTheme="minorEastAsia" w:eastAsiaTheme="minorEastAsia" w:hAnsiTheme="minorEastAsia" w:cs="Arial" w:cstheme="minorEastAsia" w:hint="eastAsia"/>
          <w:sz w:val="32"/>
          <w:szCs w:val="32"/>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2</w:t>
      </w:r>
      <w:r>
        <w:rPr>
          <w:sz w:val="32"/>
          <w:u w:color="auto"/>
        </w:rPr>
        <w:t xml:space="preserve">)</w:t>
      </w:r>
      <w:r>
        <w:rPr>
          <w:sz w:val="32"/>
          <w:u w:color="auto"/>
        </w:rPr>
        <w:t xml:space="preserve">商品和服务支出</w:t>
      </w:r>
      <w:r>
        <w:rPr>
          <w:rFonts w:ascii="宋体" w:eastAsia="宋体" w:hAnsi="宋体" w:asciiTheme="minorEastAsia" w:eastAsiaTheme="minorEastAsia" w:hAnsiTheme="minorEastAsia" w:cs="Arial" w:cstheme="minorEastAsia" w:hint="eastAsia"/>
          <w:sz w:val="32"/>
          <w:szCs w:val="32"/>
          <w:lang w:val="en-US" w:eastAsia="zh-CN"/>
        </w:rPr>
        <w:t xml:space="preserve">24.46</w:t>
      </w:r>
      <w:r>
        <w:rPr>
          <w:rFonts w:ascii="宋体" w:eastAsia="宋体" w:hAnsi="宋体" w:asciiTheme="minorEastAsia" w:eastAsiaTheme="minorEastAsia" w:hAnsiTheme="minorEastAsia" w:cs="Arial" w:cstheme="minorEastAsia" w:hint="eastAsia"/>
          <w:sz w:val="32"/>
          <w:szCs w:val="32"/>
        </w:rPr>
        <w:t xml:space="preserve">万元，占基本支出总预算</w:t>
      </w:r>
      <w:r>
        <w:rPr>
          <w:rFonts w:ascii="宋体" w:eastAsia="宋体" w:hAnsi="宋体" w:asciiTheme="minorEastAsia" w:eastAsiaTheme="minorEastAsia" w:hAnsiTheme="minorEastAsia" w:cs="Arial" w:cstheme="minorEastAsia" w:hint="eastAsia"/>
          <w:sz w:val="32"/>
          <w:szCs w:val="32"/>
          <w:lang w:val="en-US" w:eastAsia="zh-CN"/>
        </w:rPr>
        <w:t xml:space="preserve">3.99%</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增长3.06</w:t>
      </w:r>
      <w:r>
        <w:rPr>
          <w:sz w:val="32"/>
          <w:u w:color="auto"/>
        </w:rPr>
        <w:t xml:space="preserve">万元，</w:t>
      </w:r>
      <w:r>
        <w:rPr>
          <w:sz w:val="32"/>
          <w:u w:color="auto"/>
        </w:rPr>
        <w:t xml:space="preserve">增长14.30%</w:t>
      </w:r>
      <w:r>
        <w:rPr>
          <w:sz w:val="32"/>
          <w:u w:color="auto"/>
        </w:rPr>
        <w:t xml:space="preserve">,主要原因是：因绩效工资核算方式改变，在职职工的绩效工资增加，导致福利费和工会经费等支出增加</w:t>
      </w:r>
      <w:r>
        <w:rPr>
          <w:rFonts w:ascii="宋体" w:eastAsia="宋体" w:hAnsi="宋体" w:asciiTheme="minorEastAsia" w:eastAsiaTheme="minorEastAsia" w:hAnsiTheme="minorEastAsia" w:cs="Arial" w:cstheme="minorEastAsia" w:hint="eastAsia"/>
          <w:sz w:val="32"/>
          <w:szCs w:val="32"/>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3</w:t>
      </w:r>
      <w:r>
        <w:rPr>
          <w:sz w:val="32"/>
          <w:u w:color="auto"/>
        </w:rPr>
        <w:t xml:space="preserve">)</w:t>
      </w:r>
      <w:r>
        <w:rPr>
          <w:sz w:val="32"/>
          <w:u w:color="auto"/>
        </w:rPr>
        <w:t xml:space="preserve">对个人和家庭的补助</w:t>
      </w:r>
      <w:r>
        <w:rPr>
          <w:rFonts w:ascii="宋体" w:eastAsia="宋体" w:hAnsi="宋体" w:asciiTheme="minorEastAsia" w:eastAsiaTheme="minorEastAsia" w:hAnsiTheme="minorEastAsia" w:cs="Arial" w:cstheme="minorEastAsia" w:hint="eastAsia"/>
          <w:sz w:val="32"/>
          <w:szCs w:val="32"/>
          <w:lang w:val="en-US" w:eastAsia="zh-CN"/>
        </w:rPr>
        <w:t xml:space="preserve">14.91</w:t>
      </w:r>
      <w:r>
        <w:rPr>
          <w:rFonts w:ascii="宋体" w:eastAsia="宋体" w:hAnsi="宋体" w:asciiTheme="minorEastAsia" w:eastAsiaTheme="minorEastAsia" w:hAnsiTheme="minorEastAsia" w:cs="Arial" w:cstheme="minorEastAsia" w:hint="eastAsia"/>
          <w:sz w:val="32"/>
          <w:szCs w:val="32"/>
        </w:rPr>
        <w:t xml:space="preserve">万元，占基本支出总预算</w:t>
      </w:r>
      <w:r>
        <w:rPr>
          <w:rFonts w:ascii="宋体" w:eastAsia="宋体" w:hAnsi="宋体" w:asciiTheme="minorEastAsia" w:eastAsiaTheme="minorEastAsia" w:hAnsiTheme="minorEastAsia" w:cs="Arial" w:cstheme="minorEastAsia" w:hint="eastAsia"/>
          <w:sz w:val="32"/>
          <w:szCs w:val="32"/>
          <w:lang w:val="en-US" w:eastAsia="zh-CN"/>
        </w:rPr>
        <w:t xml:space="preserve">2.43%</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增长11.71</w:t>
      </w:r>
      <w:r>
        <w:rPr>
          <w:sz w:val="32"/>
          <w:u w:color="auto"/>
        </w:rPr>
        <w:t xml:space="preserve">万元，</w:t>
      </w:r>
      <w:r>
        <w:rPr>
          <w:sz w:val="32"/>
          <w:u w:color="auto"/>
        </w:rPr>
        <w:t xml:space="preserve">增长365.94%</w:t>
      </w:r>
      <w:r>
        <w:rPr>
          <w:sz w:val="32"/>
          <w:u w:color="auto"/>
        </w:rPr>
        <w:t xml:space="preserve">,主要原因是：退休人员的生活性补助有少许提高及退休人员物业补贴核算口径不一致，造成增加幅度大</w:t>
      </w:r>
      <w:r>
        <w:rPr>
          <w:rFonts w:ascii="宋体" w:eastAsia="宋体" w:hAnsi="宋体" w:asciiTheme="minorEastAsia" w:eastAsiaTheme="minorEastAsia" w:hAnsiTheme="minorEastAsia" w:cs="Arial" w:cstheme="minorEastAsia" w:hint="eastAsia"/>
          <w:sz w:val="32"/>
          <w:szCs w:val="32"/>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b w:val="0"/>
          <w:bCs w:val="0"/>
          <w:color w:val="000000"/>
          <w:sz w:val="32"/>
          <w:szCs w:val="32"/>
          <w:lang w:val="zh-TW" w:eastAsia="zh-TW" w:bidi="zh-TW"/>
        </w:rPr>
      </w:pPr>
      <w:r>
        <w:rPr>
          <w:rFonts w:ascii="宋体" w:eastAsia="宋体" w:hAnsi="宋体" w:asciiTheme="minorEastAsia" w:eastAsiaTheme="minorEastAsia" w:hAnsiTheme="minorEastAsia" w:cs="Arial" w:cstheme="minorEastAsia" w:hint="eastAsia"/>
          <w:b w:val="0"/>
          <w:bCs w:val="0"/>
          <w:color w:val="000000"/>
          <w:sz w:val="32"/>
          <w:szCs w:val="32"/>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项目支出预算</w:t>
      </w:r>
      <w:r>
        <w:rPr>
          <w:rFonts w:ascii="宋体" w:eastAsia="宋体" w:hAnsi="宋体" w:asciiTheme="minorEastAsia" w:eastAsiaTheme="minorEastAsia" w:hAnsiTheme="minorEastAsia" w:cs="Arial" w:cstheme="minorEastAsia" w:hint="eastAsia"/>
          <w:sz w:val="32"/>
          <w:szCs w:val="32"/>
          <w:lang w:val="en-US" w:eastAsia="zh-CN"/>
        </w:rPr>
        <w:t xml:space="preserve">153.00</w:t>
      </w:r>
      <w:r>
        <w:rPr>
          <w:rFonts w:ascii="宋体" w:eastAsia="宋体" w:hAnsi="宋体" w:asciiTheme="minorEastAsia" w:eastAsiaTheme="minorEastAsia" w:hAnsiTheme="minorEastAsia" w:cs="Arial" w:cstheme="minorEastAsia" w:hint="eastAsia"/>
          <w:sz w:val="32"/>
          <w:szCs w:val="32"/>
        </w:rPr>
        <w:t xml:space="preserve">万元，占支出预算</w:t>
      </w:r>
      <w:r>
        <w:rPr>
          <w:sz w:val="32"/>
          <w:u w:color="auto"/>
        </w:rPr>
        <w:t xml:space="preserve">19.98%</w:t>
      </w:r>
      <w:r>
        <w:rPr>
          <w:rFonts w:ascii="宋体" w:eastAsia="宋体" w:hAnsi="宋体" w:asciiTheme="minorEastAsia" w:eastAsiaTheme="minorEastAsia" w:hAnsiTheme="minorEastAsia" w:cs="Arial" w:cstheme="minorEastAsia" w:hint="eastAsia"/>
          <w:sz w:val="32"/>
          <w:szCs w:val="32"/>
        </w:rPr>
        <w:t xml:space="preserve">,比上年</w:t>
      </w:r>
      <w:r>
        <w:rPr>
          <w:sz w:val="32"/>
          <w:u w:color="auto"/>
        </w:rPr>
        <w:t xml:space="preserve">增加0.00</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增长0.00%</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color w:val="000000"/>
          <w:sz w:val="32"/>
          <w:szCs w:val="32"/>
          <w:lang w:val="en-US" w:eastAsia="zh-CN" w:bidi="zh-TW"/>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1</w:t>
      </w:r>
      <w:r>
        <w:rPr>
          <w:sz w:val="32"/>
          <w:u w:color="auto"/>
        </w:rPr>
        <w:t xml:space="preserve">)</w:t>
      </w:r>
      <w:r>
        <w:rPr>
          <w:sz w:val="32"/>
          <w:u w:color="auto"/>
        </w:rPr>
        <w:t xml:space="preserve">工资福利支出</w:t>
      </w:r>
      <w:r>
        <w:rPr>
          <w:rFonts w:ascii="宋体" w:eastAsia="宋体" w:hAnsi="宋体" w:asciiTheme="minorEastAsia" w:eastAsiaTheme="minorEastAsia" w:hAnsiTheme="minorEastAsia" w:cs="Arial" w:cstheme="minorEastAsia" w:hint="eastAsia"/>
          <w:sz w:val="32"/>
          <w:szCs w:val="32"/>
          <w:lang w:val="en-US" w:eastAsia="zh-CN"/>
        </w:rPr>
        <w:t xml:space="preserve">46.15</w:t>
      </w:r>
      <w:r>
        <w:rPr>
          <w:rFonts w:ascii="宋体" w:eastAsia="宋体" w:hAnsi="宋体" w:asciiTheme="minorEastAsia" w:eastAsiaTheme="minorEastAsia" w:hAnsiTheme="minorEastAsia" w:cs="Arial" w:cstheme="minorEastAsia" w:hint="eastAsia"/>
          <w:sz w:val="32"/>
          <w:szCs w:val="32"/>
        </w:rPr>
        <w:t xml:space="preserve">万元，占项</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目支出总预算</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30.16%</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,比上年</w:t>
      </w:r>
      <w:r>
        <w:rPr>
          <w:color w:val="000000"/>
          <w:sz w:val="32"/>
          <w:u w:color="auto"/>
        </w:rPr>
        <w:t xml:space="preserve">增长46.15</w:t>
      </w:r>
      <w:r>
        <w:rPr>
          <w:color w:val="000000"/>
          <w:sz w:val="32"/>
          <w:u w:color="auto"/>
        </w:rPr>
        <w:t xml:space="preserve">万元，</w:t>
      </w:r>
      <w:r>
        <w:rPr>
          <w:color w:val="000000"/>
          <w:sz w:val="32"/>
          <w:u w:color="auto"/>
        </w:rPr>
        <w:t xml:space="preserve">增长100%</w:t>
      </w:r>
      <w:r>
        <w:rPr>
          <w:color w:val="000000"/>
          <w:sz w:val="32"/>
          <w:u w:color="auto"/>
        </w:rPr>
        <w:t xml:space="preserve">,主要原因是：</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一是上年的聘用人员工资在商品和服务支出的劳务费反映预算支出，今年在“工资福利支出—其他工资福利”支出中核算支出，导致“商品和服务支出—劳务费”少46.15万；二是因为上年因预算系统原因（三保问题），将应在“资本性支出—办公购置费”的2万元放置“商品和服务支出—办公费”核算，本年调回资本性支出中核算，导致“商品和服务支出—办公费”少2万元</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color w:val="000000"/>
          <w:sz w:val="32"/>
          <w:szCs w:val="32"/>
          <w:lang w:val="en-US" w:eastAsia="zh-CN" w:bidi="zh-TW"/>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2</w:t>
      </w:r>
      <w:r>
        <w:rPr>
          <w:sz w:val="32"/>
          <w:u w:color="auto"/>
        </w:rPr>
        <w:t xml:space="preserve">)</w:t>
      </w:r>
      <w:r>
        <w:rPr>
          <w:sz w:val="32"/>
          <w:u w:color="auto"/>
        </w:rPr>
        <w:t xml:space="preserve">商品和服务支出</w:t>
      </w:r>
      <w:r>
        <w:rPr>
          <w:rFonts w:ascii="宋体" w:eastAsia="宋体" w:hAnsi="宋体" w:asciiTheme="minorEastAsia" w:eastAsiaTheme="minorEastAsia" w:hAnsiTheme="minorEastAsia" w:cs="Arial" w:cstheme="minorEastAsia" w:hint="eastAsia"/>
          <w:sz w:val="32"/>
          <w:szCs w:val="32"/>
          <w:lang w:val="en-US" w:eastAsia="zh-CN"/>
        </w:rPr>
        <w:t xml:space="preserve">104.85</w:t>
      </w:r>
      <w:r>
        <w:rPr>
          <w:rFonts w:ascii="宋体" w:eastAsia="宋体" w:hAnsi="宋体" w:asciiTheme="minorEastAsia" w:eastAsiaTheme="minorEastAsia" w:hAnsiTheme="minorEastAsia" w:cs="Arial" w:cstheme="minorEastAsia" w:hint="eastAsia"/>
          <w:sz w:val="32"/>
          <w:szCs w:val="32"/>
        </w:rPr>
        <w:t xml:space="preserve">万元，占项</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目支出总预算</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68.53%</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,比上年</w:t>
      </w:r>
      <w:r>
        <w:rPr>
          <w:color w:val="000000"/>
          <w:sz w:val="32"/>
          <w:u w:color="auto"/>
        </w:rPr>
        <w:t xml:space="preserve">减少48.15</w:t>
      </w:r>
      <w:r>
        <w:rPr>
          <w:color w:val="000000"/>
          <w:sz w:val="32"/>
          <w:u w:color="auto"/>
        </w:rPr>
        <w:t xml:space="preserve">万元，</w:t>
      </w:r>
      <w:r>
        <w:rPr>
          <w:color w:val="000000"/>
          <w:sz w:val="32"/>
          <w:u w:color="auto"/>
        </w:rPr>
        <w:t xml:space="preserve">减少31.47%</w:t>
      </w:r>
      <w:r>
        <w:rPr>
          <w:color w:val="000000"/>
          <w:sz w:val="32"/>
          <w:u w:color="auto"/>
        </w:rPr>
        <w:t xml:space="preserve">,主要原因是：</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2023年将应在“资本性支出—办公购置费”预算支出的2万元放置“商品和服务支出—办公费”预算支出，今年调回资本性支出中列支预算，导致“资本性支出—办公购置费”增加2万</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asciiTheme="minorEastAsia" w:eastAsiaTheme="minorEastAsia" w:hAnsiTheme="minorEastAsia" w:cs="Arial" w:cstheme="minorEastAsia" w:hint="eastAsia"/>
          <w:color w:val="000000"/>
          <w:sz w:val="32"/>
          <w:szCs w:val="32"/>
          <w:lang w:val="en-US" w:eastAsia="zh-CN" w:bidi="zh-TW"/>
        </w:rPr>
      </w:pPr>
      <w:r>
        <w:rPr>
          <w:rFonts w:ascii="宋体" w:eastAsia="宋体" w:hAnsi="宋体" w:asciiTheme="minorEastAsia" w:eastAsiaTheme="minorEastAsia" w:hAnsiTheme="minorEastAsia" w:cs="Arial" w:cstheme="minorEastAsia" w:hint="eastAsia"/>
          <w:sz w:val="32"/>
          <w:szCs w:val="32"/>
        </w:rPr>
        <w:t xml:space="preserve">(</w:t>
      </w:r>
      <w:r>
        <w:rPr>
          <w:sz w:val="32"/>
          <w:u w:color="auto"/>
        </w:rPr>
        <w:t xml:space="preserve">3</w:t>
      </w:r>
      <w:r>
        <w:rPr>
          <w:sz w:val="32"/>
          <w:u w:color="auto"/>
        </w:rPr>
        <w:t xml:space="preserve">)</w:t>
      </w:r>
      <w:r>
        <w:rPr>
          <w:sz w:val="32"/>
          <w:u w:color="auto"/>
        </w:rPr>
        <w:t xml:space="preserve">资本性支出</w:t>
      </w:r>
      <w:r>
        <w:rPr>
          <w:rFonts w:ascii="宋体" w:eastAsia="宋体" w:hAnsi="宋体" w:asciiTheme="minorEastAsia" w:eastAsiaTheme="minorEastAsia" w:hAnsiTheme="minorEastAsia" w:cs="Arial" w:cstheme="minorEastAsia" w:hint="eastAsia"/>
          <w:sz w:val="32"/>
          <w:szCs w:val="32"/>
          <w:lang w:val="en-US" w:eastAsia="zh-CN"/>
        </w:rPr>
        <w:t xml:space="preserve">2.00</w:t>
      </w:r>
      <w:r>
        <w:rPr>
          <w:rFonts w:ascii="宋体" w:eastAsia="宋体" w:hAnsi="宋体" w:asciiTheme="minorEastAsia" w:eastAsiaTheme="minorEastAsia" w:hAnsiTheme="minorEastAsia" w:cs="Arial" w:cstheme="minorEastAsia" w:hint="eastAsia"/>
          <w:sz w:val="32"/>
          <w:szCs w:val="32"/>
        </w:rPr>
        <w:t xml:space="preserve">万元，占项</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目支出总预算</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1.31%</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,比上年</w:t>
      </w:r>
      <w:r>
        <w:rPr>
          <w:color w:val="000000"/>
          <w:sz w:val="32"/>
          <w:u w:color="auto"/>
        </w:rPr>
        <w:t xml:space="preserve">增长2.00</w:t>
      </w:r>
      <w:r>
        <w:rPr>
          <w:color w:val="000000"/>
          <w:sz w:val="32"/>
          <w:u w:color="auto"/>
        </w:rPr>
        <w:t xml:space="preserve">万元，</w:t>
      </w:r>
      <w:r>
        <w:rPr>
          <w:color w:val="000000"/>
          <w:sz w:val="32"/>
          <w:u w:color="auto"/>
        </w:rPr>
        <w:t xml:space="preserve">增长100%</w:t>
      </w:r>
      <w:r>
        <w:rPr>
          <w:color w:val="000000"/>
          <w:sz w:val="32"/>
          <w:u w:color="auto"/>
        </w:rPr>
        <w:t xml:space="preserve">,主要原因是：</w:t>
      </w:r>
      <w:r>
        <w:rPr>
          <w:rFonts w:ascii="宋体" w:eastAsia="宋体" w:hAnsi="宋体" w:asciiTheme="minorEastAsia" w:eastAsiaTheme="minorEastAsia" w:hAnsiTheme="minorEastAsia" w:cs="Arial" w:cstheme="minorEastAsia" w:hint="eastAsia"/>
          <w:color w:val="000000"/>
          <w:sz w:val="32"/>
          <w:szCs w:val="32"/>
          <w:lang w:val="zh-TW" w:eastAsia="zh-TW" w:bidi="zh-TW"/>
        </w:rPr>
        <w:t xml:space="preserve">2023年的聘用人员工资在“商品和服务支出—劳务费”反映预算支出，本年在“工资福利支出—其他工资福利支出”中列支预算支出，导致“工资性支出—其他工资”增加46.15万</w:t>
      </w:r>
      <w:r>
        <w:rPr>
          <w:rFonts w:ascii="宋体" w:eastAsia="宋体" w:hAnsi="宋体" w:asciiTheme="minorEastAsia" w:eastAsiaTheme="minorEastAsia" w:hAnsiTheme="minorEastAsia" w:cs="Arial" w:cstheme="minorEastAsia" w:hint="eastAsia"/>
          <w:color w:val="000000"/>
          <w:sz w:val="32"/>
          <w:szCs w:val="32"/>
          <w:lang w:val="en-US" w:eastAsia="zh-CN" w:bidi="zh-TW"/>
        </w:rPr>
        <w:t xml:space="preserve">。</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四、财政拨款收支总体情况说明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drawing>
          <wp:inline distT="0" distB="0" distL="114300" distR="114300">
            <wp:extent cx="5080000" cy="3810000"/>
            <wp:effectExtent l="4445" t="4445" r="5715" b="10795"/>
            <wp:docPr id="1069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u w:color="auto"/>
        </w:rPr>
        <w:t xml:space="preserve">年</w:t>
      </w:r>
      <w:r>
        <w:rPr>
          <w:rFonts w:ascii="宋体" w:eastAsia="宋体" w:hAnsi="宋体" w:asciiTheme="minorEastAsia" w:eastAsiaTheme="minorEastAsia" w:hAnsiTheme="minorEastAsia" w:cs="Arial" w:cstheme="minorEastAsia" w:hint="eastAsia"/>
          <w:sz w:val="32"/>
          <w:szCs w:val="32"/>
        </w:rPr>
        <w:t xml:space="preserve">财政拨款收入我部门财政拨款总收入</w:t>
      </w:r>
      <w:r>
        <w:rPr>
          <w:rFonts w:ascii="宋体" w:eastAsia="宋体" w:hAnsi="宋体" w:asciiTheme="minorEastAsia" w:eastAsiaTheme="minorEastAsia" w:hAnsiTheme="minorEastAsia" w:cs="Arial" w:cstheme="minorEastAsia" w:hint="eastAsia"/>
          <w:sz w:val="32"/>
          <w:szCs w:val="32"/>
          <w:lang w:val="en-US" w:eastAsia="zh-CN" w:bidi="en-US"/>
        </w:rPr>
        <w:t xml:space="preserve">765.95</w:t>
      </w:r>
      <w:r>
        <w:rPr>
          <w:rFonts w:ascii="宋体" w:eastAsia="宋体" w:hAnsi="宋体" w:asciiTheme="minorEastAsia" w:eastAsiaTheme="minorEastAsia" w:hAnsiTheme="minorEastAsia" w:cs="Arial" w:cstheme="minorEastAsia" w:hint="eastAsia"/>
          <w:sz w:val="32"/>
          <w:szCs w:val="32"/>
        </w:rPr>
        <w:t xml:space="preserve">万元，总支出</w:t>
      </w:r>
      <w:r>
        <w:rPr>
          <w:rFonts w:ascii="宋体" w:eastAsia="宋体" w:hAnsi="宋体" w:asciiTheme="minorEastAsia" w:eastAsiaTheme="minorEastAsia" w:hAnsiTheme="minorEastAsia" w:cs="Arial" w:cstheme="minorEastAsia" w:hint="eastAsia"/>
          <w:sz w:val="32"/>
          <w:szCs w:val="32"/>
          <w:lang w:val="en-US" w:eastAsia="zh-CN" w:bidi="en-US"/>
        </w:rPr>
        <w:t xml:space="preserve">765.95</w:t>
      </w:r>
      <w:r>
        <w:rPr>
          <w:rFonts w:ascii="宋体" w:eastAsia="宋体" w:hAnsi="宋体" w:asciiTheme="minorEastAsia" w:eastAsiaTheme="minorEastAsia" w:hAnsiTheme="minorEastAsia" w:cs="Arial" w:cstheme="minorEastAsia" w:hint="eastAsia"/>
          <w:sz w:val="32"/>
          <w:szCs w:val="32"/>
        </w:rPr>
        <w:t xml:space="preserve">万元。财政拨款总收入较2023年度预算数</w:t>
      </w:r>
      <w:r>
        <w:rPr>
          <w:rFonts w:ascii="宋体" w:eastAsia="宋体" w:hAnsi="宋体" w:asciiTheme="minorEastAsia" w:eastAsiaTheme="minorEastAsia" w:hAnsiTheme="minorEastAsia" w:cs="Arial" w:cstheme="minorEastAsia" w:hint="eastAsia"/>
          <w:sz w:val="32"/>
          <w:szCs w:val="32"/>
          <w:lang w:val="en-US" w:eastAsia="zh-CN" w:bidi="en-US"/>
        </w:rPr>
        <w:t xml:space="preserve">612.23</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增加153.72</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增长25.11%</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基本支出收入拨款612.95万元,同比增加153.72万元，增长33.47%；项目支出收入拨款153万元，与去年同比无变化。纳入公共财政预算管理的非税收入拨款0万元，与去年同比无变化</w:t>
      </w:r>
      <w:r>
        <w:rPr>
          <w:rFonts w:ascii="宋体" w:eastAsia="宋体" w:hAnsi="宋体" w:asciiTheme="minorEastAsia" w:eastAsiaTheme="minorEastAsia" w:hAnsiTheme="minorEastAsia" w:cs="Arial" w:cstheme="minorEastAsia" w:hint="eastAsia"/>
          <w:sz w:val="32"/>
          <w:szCs w:val="32"/>
        </w:rPr>
        <w:t xml:space="preserve">。财政拨款总支出较2023年度预算数</w:t>
      </w:r>
      <w:r>
        <w:rPr>
          <w:rFonts w:ascii="宋体" w:eastAsia="宋体" w:hAnsi="宋体" w:asciiTheme="minorEastAsia" w:eastAsiaTheme="minorEastAsia" w:hAnsiTheme="minorEastAsia" w:cs="Arial" w:cstheme="minorEastAsia" w:hint="eastAsia"/>
          <w:sz w:val="32"/>
          <w:szCs w:val="32"/>
          <w:lang w:val="en-US" w:eastAsia="zh-CN" w:bidi="en-US"/>
        </w:rPr>
        <w:t xml:space="preserve">612.23</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增加153.72</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bidi="en-US"/>
        </w:rPr>
        <w:t xml:space="preserve">增长25.11%</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基本支出拨款612.95万元,同比增加153.72万元，同比增长33.47%；项目支出拨款153万元，与去年同比无变化。纳入公共财政预算管理的非税收入拨款0万元，与去年同比无变化</w:t>
      </w:r>
      <w:r>
        <w:rPr>
          <w:rFonts w:ascii="宋体" w:eastAsia="宋体" w:hAnsi="宋体" w:asciiTheme="minorEastAsia" w:eastAsiaTheme="minorEastAsia" w:hAnsiTheme="minorEastAsia" w:cs="Arial" w:cstheme="minorEastAsia" w:hint="eastAsia"/>
          <w:sz w:val="32"/>
          <w:szCs w:val="32"/>
        </w:rPr>
        <w:t xml:space="preserve">。</w:t>
      </w: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五、一般公共预算支出情况说明</w:t>
      </w:r>
    </w:p>
    <w:p>
      <w:pPr>
        <w:pStyle w:val="Bodytext|1"/>
        <w:spacing w:line="240" w:lineRule="auto"/>
        <w:ind w:firstLine="0"/>
        <w:jc w:val="left"/>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drawing>
          <wp:inline distT="0" distB="0" distL="114300" distR="114300">
            <wp:extent cx="5080000" cy="3810000"/>
            <wp:effectExtent l="4445" t="4445" r="20955" b="14605"/>
            <wp:docPr id="1069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lang w:val="en-US" w:eastAsia="zh-CN"/>
        </w:rPr>
        <w:t xml:space="preserve">年</w:t>
      </w:r>
      <w:r>
        <w:rPr>
          <w:rFonts w:ascii="宋体" w:eastAsia="宋体" w:hAnsi="宋体" w:asciiTheme="minorEastAsia" w:eastAsiaTheme="minorEastAsia" w:hAnsiTheme="minorEastAsia" w:cs="Arial" w:cstheme="minorEastAsia" w:hint="eastAsia"/>
          <w:sz w:val="32"/>
          <w:szCs w:val="32"/>
        </w:rPr>
        <w:t xml:space="preserve">一般公共预算支出共</w:t>
      </w:r>
      <w:r>
        <w:rPr>
          <w:rFonts w:ascii="宋体" w:eastAsia="宋体" w:hAnsi="宋体" w:asciiTheme="minorEastAsia" w:eastAsiaTheme="minorEastAsia" w:hAnsiTheme="minorEastAsia" w:cs="Arial" w:cstheme="minorEastAsia" w:hint="eastAsia"/>
          <w:sz w:val="32"/>
          <w:szCs w:val="32"/>
          <w:lang w:val="en-US" w:eastAsia="zh-CN"/>
        </w:rPr>
        <w:t xml:space="preserve">765.95</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612.23</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增加153.72</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增长25.11%</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主要原因是工资福利支出较2023年度预算数增加138.95万元，增长31.97%；商品和服务支出较2023年度预算数增加3.06万元，增长14.30%；对个人和家庭的补助支出较2023年度预算数增加11.71万元，增长365.94%</w:t>
      </w:r>
      <w:r>
        <w:rPr>
          <w:rFonts w:ascii="宋体" w:eastAsia="宋体" w:hAnsi="宋体" w:asciiTheme="minorEastAsia" w:eastAsiaTheme="minorEastAsia" w:hAnsiTheme="minorEastAsia" w:cs="Arial" w:cstheme="minorEastAsia" w:hint="eastAsia"/>
          <w:sz w:val="32"/>
          <w:szCs w:val="32"/>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一般公共服务支出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569.52</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74.35%</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471.28</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增加98.24</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增长20.85%</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基本工资支出较2023年度预算数增加12.82万元，增长10.03%；津贴补贴支出较2023年度预算数增加3万元，增长20.82%；奖金支出较2023年度预算数减少61.31万元，下降84.36%；绩效工资支出较2023年度预算数增加140.66万元，增长172.29%；工会经费支出较2023年度预算数增加1.85万元，增长31.84%；福利费支出较2023年度预算数增加0.01万元，增长5.26%；其他商品和服务支出较2023年度预算数增加1.2万元，增长7.79%</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住房保障支出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45.94</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6.00%</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34.88</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增加11.06</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增长31.71%</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绩效工资增加，住房保障支出提取基数增加</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卫生健康支出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44.75</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5.84%</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34.87</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增加9.88</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增长28.33%</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绩效工资增加，卫生健康支出提取基数增加</w:t>
      </w:r>
      <w:r>
        <w:rPr>
          <w:rFonts w:ascii="宋体" w:eastAsia="宋体" w:hAnsi="宋体" w:asciiTheme="minorEastAsia" w:eastAsiaTheme="minorEastAsia" w:hAnsiTheme="minorEastAsia" w:cs="Arial" w:cstheme="minorEastAsia" w:hint="eastAsia"/>
          <w:sz w:val="32"/>
          <w:szCs w:val="32"/>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社会保障和就业支出</w:t>
      </w:r>
      <w:r>
        <w:rPr>
          <w:rFonts w:ascii="宋体" w:eastAsia="宋体" w:hAnsi="宋体" w:asciiTheme="minorEastAsia" w:eastAsiaTheme="minorEastAsia" w:hAnsiTheme="minorEastAsia" w:cs="Arial" w:cstheme="minorEastAsia" w:hint="eastAsia"/>
          <w:sz w:val="32"/>
          <w:szCs w:val="32"/>
        </w:rPr>
        <w:t xml:space="preserve">（类）支出</w:t>
      </w:r>
      <w:r>
        <w:rPr>
          <w:sz w:val="32"/>
          <w:u w:color="auto"/>
        </w:rPr>
        <w:t xml:space="preserve">105.76</w:t>
      </w:r>
      <w:r>
        <w:rPr>
          <w:rFonts w:ascii="宋体" w:eastAsia="宋体" w:hAnsi="宋体" w:asciiTheme="minorEastAsia" w:eastAsiaTheme="minorEastAsia" w:hAnsiTheme="minorEastAsia" w:cs="Arial" w:cstheme="minorEastAsia" w:hint="eastAsia"/>
          <w:sz w:val="32"/>
          <w:szCs w:val="32"/>
        </w:rPr>
        <w:t xml:space="preserve">万元，占支出总预算的</w:t>
      </w:r>
      <w:r>
        <w:rPr>
          <w:sz w:val="32"/>
          <w:u w:color="auto"/>
        </w:rPr>
        <w:t xml:space="preserve">13.81%</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较2023年度预算数</w:t>
      </w:r>
      <w:r>
        <w:rPr>
          <w:sz w:val="32"/>
          <w:u w:color="auto"/>
        </w:rPr>
        <w:t xml:space="preserve">71.21</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增加34.55</w:t>
      </w:r>
      <w:r>
        <w:rPr>
          <w:rFonts w:ascii="宋体" w:eastAsia="宋体" w:hAnsi="宋体" w:asciiTheme="minorEastAsia" w:eastAsiaTheme="minorEastAsia" w:hAnsiTheme="minorEastAsia" w:cs="Arial" w:cstheme="minorEastAsia" w:hint="eastAsia"/>
          <w:sz w:val="32"/>
          <w:szCs w:val="32"/>
        </w:rPr>
        <w:t xml:space="preserve">万元，</w:t>
      </w:r>
      <w:r>
        <w:rPr>
          <w:sz w:val="32"/>
          <w:u w:color="auto"/>
        </w:rPr>
        <w:t xml:space="preserve">增长48.52%</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绩效工资增加，社会保障和就业支出提取基数增加</w:t>
      </w:r>
      <w:r>
        <w:rPr>
          <w:rFonts w:ascii="宋体" w:eastAsia="宋体" w:hAnsi="宋体" w:asciiTheme="minorEastAsia" w:eastAsiaTheme="minorEastAsia" w:hAnsiTheme="minorEastAsia" w:cs="Arial" w:cstheme="minorEastAsia" w:hint="eastAsia"/>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六、一般公共预算基本支出情况说明</w:t>
      </w:r>
    </w:p>
    <w:p>
      <w:pPr>
        <w:pStyle w:val="Bodytext|2"/>
        <w:spacing w:after="0"/>
        <w:ind w:firstLine="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drawing>
          <wp:inline distT="0" distB="0" distL="114300" distR="114300">
            <wp:extent cx="5080000" cy="3810000"/>
            <wp:effectExtent l="4445" t="4445" r="20955" b="14605"/>
            <wp:docPr id="1070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640" w:leftChars="0" w:firstLineChars="2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2024</w:t>
      </w:r>
      <w:r>
        <w:rPr>
          <w:sz w:val="32"/>
          <w:u w:color="auto"/>
        </w:rPr>
        <w:t xml:space="preserve">年</w:t>
      </w:r>
      <w:r>
        <w:rPr>
          <w:rFonts w:ascii="宋体" w:eastAsia="宋体" w:hAnsi="宋体" w:asciiTheme="minorEastAsia" w:eastAsiaTheme="minorEastAsia" w:hAnsiTheme="minorEastAsia" w:cs="Arial" w:cstheme="minorEastAsia" w:hint="eastAsia"/>
          <w:sz w:val="32"/>
          <w:szCs w:val="32"/>
        </w:rPr>
        <w:t xml:space="preserve">一般公共预算基本支出共</w:t>
      </w:r>
      <w:r>
        <w:rPr>
          <w:rFonts w:ascii="宋体" w:eastAsia="宋体" w:hAnsi="宋体" w:asciiTheme="minorEastAsia" w:eastAsiaTheme="minorEastAsia" w:hAnsiTheme="minorEastAsia" w:cs="Arial" w:cstheme="minorEastAsia" w:hint="eastAsia"/>
          <w:sz w:val="32"/>
          <w:szCs w:val="32"/>
          <w:lang w:val="en-US" w:eastAsia="zh-CN"/>
        </w:rPr>
        <w:t xml:space="preserve">612.95</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459.23</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w:t>
      </w:r>
      <w:r>
        <w:rPr>
          <w:sz w:val="32"/>
          <w:u w:color="auto"/>
        </w:rPr>
        <w:t xml:space="preserve">增加153.72</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增长33.47%</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一般公共服务支出（类）支出较2023年度预算数471.28万元，增加98.24万元，增长20.85%；住房保障支出（类）支出较2023年度预算数34.88万元，增加11.06万元，增长31.71%；卫生健康支出（类）支出较2023年度预算数34.87万元，增加9.88万元，增长28.33%；社会保障和就业支出（类）支出较2023年度预算数71.21万元，增加34.55万元，增长48.52%</w:t>
      </w:r>
      <w:r>
        <w:rPr>
          <w:rFonts w:ascii="宋体" w:eastAsia="宋体" w:hAnsi="宋体" w:asciiTheme="minorEastAsia" w:eastAsiaTheme="minorEastAsia" w:hAnsiTheme="minorEastAsia" w:cs="Arial" w:cstheme="minorEastAsia" w:hint="eastAsia"/>
          <w:sz w:val="32"/>
          <w:szCs w:val="32"/>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工资福利支出</w:t>
      </w:r>
      <w:r>
        <w:rPr>
          <w:rFonts w:ascii="宋体" w:eastAsia="宋体" w:hAnsi="宋体" w:asciiTheme="minorEastAsia" w:eastAsiaTheme="minorEastAsia" w:hAnsiTheme="minorEastAsia" w:cs="Arial" w:cstheme="minorEastAsia" w:hint="eastAsia"/>
          <w:sz w:val="32"/>
          <w:szCs w:val="32"/>
        </w:rPr>
        <w:t xml:space="preserve">预算</w:t>
      </w:r>
      <w:r>
        <w:rPr>
          <w:rFonts w:ascii="宋体" w:eastAsia="宋体" w:hAnsi="宋体" w:asciiTheme="minorEastAsia" w:eastAsiaTheme="minorEastAsia" w:hAnsiTheme="minorEastAsia" w:cs="Arial" w:cstheme="minorEastAsia" w:hint="eastAsia"/>
          <w:sz w:val="32"/>
          <w:szCs w:val="32"/>
          <w:lang w:val="en-US" w:eastAsia="zh-CN"/>
        </w:rPr>
        <w:t xml:space="preserve">573.58</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占基本支出预算的</w:t>
      </w:r>
      <w:r>
        <w:rPr>
          <w:rFonts w:ascii="宋体" w:eastAsia="宋体" w:hAnsi="宋体" w:asciiTheme="minorEastAsia" w:eastAsiaTheme="minorEastAsia" w:hAnsiTheme="minorEastAsia" w:cs="Arial" w:cstheme="minorEastAsia" w:hint="eastAsia"/>
          <w:sz w:val="32"/>
          <w:szCs w:val="32"/>
          <w:lang w:val="en-US" w:eastAsia="zh-CN"/>
        </w:rPr>
        <w:t xml:space="preserve">93.58%</w:t>
      </w:r>
      <w:r>
        <w:rPr>
          <w:rFonts w:ascii="宋体" w:eastAsia="宋体" w:hAnsi="宋体" w:asciiTheme="minorEastAsia" w:eastAsiaTheme="minorEastAsia" w:hAnsiTheme="minorEastAsia" w:cs="Arial" w:cstheme="minorEastAsia" w:hint="eastAsia"/>
          <w:sz w:val="32"/>
          <w:szCs w:val="32"/>
        </w:rPr>
        <w:t xml:space="preserve">，较2023年度预算数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434.63</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增加138.95</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增长31.97%</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基本工资支出较2023年度预算数增加12.82万元，增长10.03%；津贴补贴支出较2023年度预算数增加3万元，增长20.82%；奖金支出较2023年度预算数减少61.31万元，下降84.36%；绩效工资支出较2023年度预算数增加140.66万元，增长172.29%；机关事业单位基本养老保险缴费支出较2023年度预算数增加14.75万元，增长31.72%；职业年金缴费支出较2023年度预算数增加7.37万元，增长31.70%；职工基本医疗保险缴费支出较2023年度预算数增加6.04万元，增长32.72%；公务员医疗补助缴费支出较2023年度预算数增加3.68万元，增长31.64%；其他社会保障缴费支出较2023年度预算数增加0.87万元，增长28.61%；住房公积金支出较2023年度预算数增加11.06万元，增长31.71%</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商品和服务支出</w:t>
      </w:r>
      <w:r>
        <w:rPr>
          <w:rFonts w:ascii="宋体" w:eastAsia="宋体" w:hAnsi="宋体" w:asciiTheme="minorEastAsia" w:eastAsiaTheme="minorEastAsia" w:hAnsiTheme="minorEastAsia" w:cs="Arial" w:cstheme="minorEastAsia" w:hint="eastAsia"/>
          <w:sz w:val="32"/>
          <w:szCs w:val="32"/>
        </w:rPr>
        <w:t xml:space="preserve">预算</w:t>
      </w:r>
      <w:r>
        <w:rPr>
          <w:rFonts w:ascii="宋体" w:eastAsia="宋体" w:hAnsi="宋体" w:asciiTheme="minorEastAsia" w:eastAsiaTheme="minorEastAsia" w:hAnsiTheme="minorEastAsia" w:cs="Arial" w:cstheme="minorEastAsia" w:hint="eastAsia"/>
          <w:sz w:val="32"/>
          <w:szCs w:val="32"/>
          <w:lang w:val="en-US" w:eastAsia="zh-CN"/>
        </w:rPr>
        <w:t xml:space="preserve">24.46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占基本支出预算的</w:t>
      </w:r>
      <w:r>
        <w:rPr>
          <w:rFonts w:ascii="宋体" w:eastAsia="宋体" w:hAnsi="宋体" w:asciiTheme="minorEastAsia" w:eastAsiaTheme="minorEastAsia" w:hAnsiTheme="minorEastAsia" w:cs="Arial" w:cstheme="minorEastAsia" w:hint="eastAsia"/>
          <w:sz w:val="32"/>
          <w:szCs w:val="32"/>
          <w:lang w:val="en-US" w:eastAsia="zh-CN"/>
        </w:rPr>
        <w:t xml:space="preserve">3.99%</w:t>
      </w:r>
      <w:r>
        <w:rPr>
          <w:rFonts w:ascii="宋体" w:eastAsia="宋体" w:hAnsi="宋体" w:asciiTheme="minorEastAsia" w:eastAsiaTheme="minorEastAsia" w:hAnsiTheme="minorEastAsia" w:cs="Arial" w:cstheme="minorEastAsia" w:hint="eastAsia"/>
          <w:sz w:val="32"/>
          <w:szCs w:val="32"/>
        </w:rPr>
        <w:t xml:space="preserve">，较2023年度预算数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21.40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增加3.06</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增长14.30%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工会经费支出较2023年度预算数增加1.85万元，增长31.84%；福利费支出较2023年度预算数增加0.01万元，增长5.26%；其他商品和服务支出较2023年度预算数增加1.2万元，增长7.79%</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对个人和家庭的补助</w:t>
      </w:r>
      <w:r>
        <w:rPr>
          <w:rFonts w:ascii="宋体" w:eastAsia="宋体" w:hAnsi="宋体" w:asciiTheme="minorEastAsia" w:eastAsiaTheme="minorEastAsia" w:hAnsiTheme="minorEastAsia" w:cs="Arial" w:cstheme="minorEastAsia" w:hint="eastAsia"/>
          <w:sz w:val="32"/>
          <w:szCs w:val="32"/>
        </w:rPr>
        <w:t xml:space="preserve">预算</w:t>
      </w:r>
      <w:r>
        <w:rPr>
          <w:rFonts w:ascii="宋体" w:eastAsia="宋体" w:hAnsi="宋体" w:asciiTheme="minorEastAsia" w:eastAsiaTheme="minorEastAsia" w:hAnsiTheme="minorEastAsia" w:cs="Arial" w:cstheme="minorEastAsia" w:hint="eastAsia"/>
          <w:sz w:val="32"/>
          <w:szCs w:val="32"/>
          <w:lang w:val="en-US" w:eastAsia="zh-CN"/>
        </w:rPr>
        <w:t xml:space="preserve">14.91</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占基本支出预算的</w:t>
      </w:r>
      <w:r>
        <w:rPr>
          <w:rFonts w:ascii="宋体" w:eastAsia="宋体" w:hAnsi="宋体" w:asciiTheme="minorEastAsia" w:eastAsiaTheme="minorEastAsia" w:hAnsiTheme="minorEastAsia" w:cs="Arial" w:cstheme="minorEastAsia" w:hint="eastAsia"/>
          <w:sz w:val="32"/>
          <w:szCs w:val="32"/>
          <w:lang w:val="en-US" w:eastAsia="zh-CN"/>
        </w:rPr>
        <w:t xml:space="preserve">2.43%</w:t>
      </w:r>
      <w:r>
        <w:rPr>
          <w:rFonts w:ascii="宋体" w:eastAsia="宋体" w:hAnsi="宋体" w:asciiTheme="minorEastAsia" w:eastAsiaTheme="minorEastAsia" w:hAnsiTheme="minorEastAsia" w:cs="Arial" w:cstheme="minorEastAsia" w:hint="eastAsia"/>
          <w:sz w:val="32"/>
          <w:szCs w:val="32"/>
        </w:rPr>
        <w:t xml:space="preserve">，较2023年度预算数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3.20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增加11.71</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增长365.94%</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rPr>
        <w:t xml:space="preserve">退休费支出较2023年度预算数增加11.95万元，退休人员生活性补贴等支出在原单位预算体现（上年在社保单位反映）；2024年退休人员减少，退休医疗补助支出较2023年度预算数减少0.25万元，下降8.20%</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p>
    <w:p>
      <w:pPr>
        <w:pStyle w:val="Bodytext|2"/>
        <w:spacing w:after="0" w:line="619" w:lineRule="exact"/>
        <w:ind w:firstLine="620"/>
        <w:jc w:val="left"/>
        <w:rPr>
          <w:rFonts w:ascii="宋体" w:eastAsia="宋体" w:hAnsi="宋体" w:asciiTheme="minorEastAsia" w:eastAsiaTheme="minorEastAsia" w:hAnsiTheme="minorEastAsia" w:cs="Arial" w:cstheme="minorEastAsia" w:hint="eastAsia"/>
          <w:b/>
          <w:bCs/>
          <w:sz w:val="32"/>
          <w:szCs w:val="32"/>
        </w:rPr>
      </w:pPr>
      <w:r>
        <w:rPr>
          <w:rFonts w:ascii="宋体" w:eastAsia="宋体" w:hAnsi="宋体" w:asciiTheme="minorEastAsia" w:eastAsiaTheme="minorEastAsia" w:hAnsiTheme="minorEastAsia" w:cs="Arial" w:cstheme="minorEastAsia" w:hint="eastAsia"/>
          <w:b/>
          <w:bCs/>
          <w:sz w:val="32"/>
          <w:szCs w:val="32"/>
          <w:lang w:val="en-US" w:eastAsia="zh-CN"/>
        </w:rPr>
        <w:t xml:space="preserve">七、一般公共预算</w:t>
      </w:r>
      <w:r>
        <w:rPr>
          <w:rFonts w:ascii="宋体" w:eastAsia="宋体" w:hAnsi="宋体" w:asciiTheme="minorEastAsia" w:eastAsiaTheme="minorEastAsia" w:hAnsiTheme="minorEastAsia" w:cs="Arial" w:cstheme="minorEastAsia" w:hint="eastAsia"/>
          <w:b/>
          <w:bCs/>
          <w:sz w:val="32"/>
          <w:szCs w:val="32"/>
          <w:lang w:val="zh-CN" w:eastAsia="zh-CN"/>
        </w:rPr>
        <w:t xml:space="preserve">“三</w:t>
      </w:r>
      <w:r>
        <w:rPr>
          <w:rFonts w:ascii="宋体" w:eastAsia="宋体" w:hAnsi="宋体" w:asciiTheme="minorEastAsia" w:eastAsiaTheme="minorEastAsia" w:hAnsiTheme="minorEastAsia" w:cs="Arial" w:cstheme="minorEastAsia" w:hint="eastAsia"/>
          <w:b/>
          <w:bCs/>
          <w:sz w:val="32"/>
          <w:szCs w:val="32"/>
          <w:lang w:val="en-US" w:eastAsia="zh-CN"/>
        </w:rPr>
        <w:t xml:space="preserve">公”经费支出情况说明</w:t>
      </w:r>
    </w:p>
    <w:p>
      <w:pPr>
        <w:pStyle w:val="Bodytext|2"/>
        <w:spacing w:after="0"/>
        <w:ind w:firstLine="0"/>
        <w:jc w:val="left"/>
        <w:rPr>
          <w:rFonts w:ascii="宋体" w:eastAsia="宋体" w:hAnsi="宋体" w:asciiTheme="minorEastAsia" w:eastAsiaTheme="minorEastAsia" w:hAnsiTheme="minorEastAsia" w:cs="Arial" w:cstheme="minorEastAsia" w:hint="eastAsia"/>
          <w:sz w:val="32"/>
          <w:szCs w:val="32"/>
          <w:highlight w:val="yellow"/>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drawing>
          <wp:inline distT="0" distB="0" distL="114300" distR="114300">
            <wp:extent cx="5080000" cy="3810000"/>
            <wp:effectExtent l="4445" t="4445" r="5715" b="10795"/>
            <wp:docPr id="1070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bookmarkStart w:id="14" w:name="bookmark90"/>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一</w:t>
      </w:r>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sz w:val="32"/>
          <w:u w:color="auto"/>
        </w:rPr>
        <w:t xml:space="preserve">2024</w:t>
      </w:r>
      <w:r>
        <w:rPr>
          <w:sz w:val="32"/>
          <w:u w:color="auto"/>
        </w:rPr>
        <w:t xml:space="preserve">年部门预算共安排</w:t>
      </w:r>
      <w:r>
        <w:rPr>
          <w:rFonts w:ascii="宋体" w:eastAsia="宋体" w:hAnsi="宋体" w:asciiTheme="minorEastAsia" w:eastAsiaTheme="minorEastAsia" w:hAnsiTheme="minorEastAsia" w:cs="Arial" w:cstheme="minorEastAsia" w:hint="eastAsia"/>
          <w:b w:val="0"/>
          <w:bCs w:val="0"/>
          <w:sz w:val="32"/>
          <w:szCs w:val="32"/>
          <w:lang w:val="zh-CN" w:eastAsia="zh-CN"/>
        </w:rPr>
        <w:t xml:space="preserve">“三公”</w:t>
      </w:r>
      <w:r>
        <w:rPr>
          <w:rFonts w:ascii="宋体" w:eastAsia="宋体" w:hAnsi="宋体" w:asciiTheme="minorEastAsia" w:eastAsiaTheme="minorEastAsia" w:hAnsiTheme="minorEastAsia" w:cs="Arial" w:cstheme="minorEastAsia" w:hint="eastAsia"/>
          <w:b w:val="0"/>
          <w:bCs w:val="0"/>
          <w:sz w:val="32"/>
          <w:szCs w:val="32"/>
          <w:lang w:eastAsia="zh-CN"/>
        </w:rPr>
        <w:t xml:space="preserve">经费支出预算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4.95</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万元（全口径），其中：因公出国（境）经费支出预算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0.00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万元，公务接待费支出预算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0.45</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万元，公务用车购置及运行费支出预算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4.50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万元（公务用车购置费</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0.00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万元,公务用车运行维护费</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4.50</w:t>
      </w:r>
      <w:r>
        <w:rPr>
          <w:rFonts w:ascii="宋体" w:eastAsia="宋体" w:hAnsi="宋体" w:asciiTheme="minorEastAsia" w:eastAsiaTheme="minorEastAsia" w:hAnsiTheme="minorEastAsia" w:cs="Arial" w:cstheme="minorEastAsia" w:hint="eastAsia"/>
          <w:b w:val="0"/>
          <w:bCs w:val="0"/>
          <w:sz w:val="32"/>
          <w:szCs w:val="32"/>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二</w:t>
      </w:r>
      <w:r>
        <w:rPr>
          <w:rFonts w:ascii="宋体" w:eastAsia="宋体" w:hAnsi="宋体" w:asciiTheme="minorEastAsia" w:eastAsiaTheme="minorEastAsia" w:hAnsiTheme="minorEastAsia" w:cs="Arial" w:cstheme="minorEastAsia" w:hint="eastAsia"/>
          <w:b w:val="0"/>
          <w:bCs w:val="0"/>
          <w:sz w:val="32"/>
          <w:szCs w:val="32"/>
          <w:lang w:eastAsia="zh-CN"/>
        </w:rPr>
        <w:t xml:space="preserve">）</w:t>
      </w:r>
      <w:r>
        <w:rPr>
          <w:sz w:val="32"/>
          <w:u w:color="auto"/>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年一般公共预算安排的“三公”经费支出预算</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4.95</w:t>
      </w:r>
      <w:r>
        <w:rPr>
          <w:rFonts w:ascii="宋体" w:eastAsia="宋体" w:hAnsi="宋体" w:asciiTheme="minorEastAsia" w:eastAsiaTheme="minorEastAsia" w:hAnsiTheme="minorEastAsia" w:cs="Arial" w:cstheme="minorEastAsia" w:hint="eastAsia"/>
          <w:b w:val="0"/>
          <w:bCs w:val="0"/>
          <w:sz w:val="32"/>
          <w:szCs w:val="32"/>
        </w:rPr>
        <w:t xml:space="preserve">万元，同口径较2023年度预算数</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5.50</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减少0.55</w:t>
      </w:r>
      <w:r>
        <w:rPr>
          <w:rFonts w:ascii="宋体" w:eastAsia="宋体" w:hAnsi="宋体" w:asciiTheme="minorEastAsia" w:eastAsiaTheme="minorEastAsia" w:hAnsiTheme="minorEastAsia" w:cs="Arial" w:cstheme="minorEastAsia" w:hint="eastAsia"/>
          <w:b w:val="0"/>
          <w:bCs w:val="0"/>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val="en-US" w:eastAsia="zh-CN"/>
        </w:rPr>
        <w:t xml:space="preserve">下降10.00%</w:t>
      </w:r>
      <w:r>
        <w:rPr>
          <w:rFonts w:ascii="宋体" w:eastAsia="宋体" w:hAnsi="宋体" w:asciiTheme="minorEastAsia" w:eastAsiaTheme="minorEastAsia" w:hAnsiTheme="minorEastAsia" w:cs="Arial" w:cstheme="minorEastAsia" w:hint="eastAsia"/>
          <w:b w:val="0"/>
          <w:bCs w:val="0"/>
          <w:sz w:val="32"/>
          <w:szCs w:val="32"/>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r>
        <w:rPr>
          <w:rFonts w:ascii="宋体" w:eastAsia="宋体" w:hAnsi="宋体" w:asciiTheme="minorEastAsia" w:eastAsiaTheme="minorEastAsia" w:hAnsiTheme="minorEastAsia" w:cs="Arial" w:cstheme="minorEastAsia" w:hint="eastAsia"/>
          <w:b w:val="0"/>
          <w:bCs w:val="0"/>
          <w:sz w:val="32"/>
          <w:szCs w:val="32"/>
        </w:rPr>
        <w:t xml:space="preserve">1.因公出国（境）费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未发生因公出国业务，因公出国（境）费0元，同比执平</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r>
        <w:rPr>
          <w:rFonts w:ascii="宋体" w:eastAsia="宋体" w:hAnsi="宋体" w:asciiTheme="minorEastAsia" w:eastAsiaTheme="minorEastAsia" w:hAnsiTheme="minorEastAsia" w:cs="Arial" w:cstheme="minorEastAsia" w:hint="eastAsia"/>
          <w:b w:val="0"/>
          <w:bCs w:val="0"/>
          <w:sz w:val="32"/>
          <w:szCs w:val="32"/>
        </w:rPr>
        <w:t xml:space="preserve">2.公务接待费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0.45</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0.50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减少0.05</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下降10.00%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财政要求“三公经费”预算支出缩减10%，预计减少业务招待1次和少接待6人</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rPr>
        <w:t xml:space="preserve">3.公务用车购置及运行费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4.50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5.00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减少0.50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下降10.00%</w:t>
      </w:r>
      <w:r>
        <w:rPr>
          <w:rFonts w:ascii="宋体" w:eastAsia="宋体" w:hAnsi="宋体" w:asciiTheme="minorEastAsia" w:eastAsiaTheme="minorEastAsia" w:hAnsiTheme="minorEastAsia" w:cs="Arial" w:cstheme="minorEastAsia" w:hint="eastAsia"/>
          <w:b w:val="0"/>
          <w:bCs w:val="0"/>
          <w:sz w:val="32"/>
          <w:szCs w:val="32"/>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lang w:eastAsia="zh-CN"/>
        </w:rPr>
      </w:pPr>
      <w:r>
        <w:rPr>
          <w:rFonts w:ascii="宋体" w:eastAsia="宋体" w:hAnsi="宋体" w:asciiTheme="minorEastAsia" w:eastAsiaTheme="minorEastAsia" w:hAnsiTheme="minorEastAsia" w:cs="Arial" w:cstheme="minorEastAsia" w:hint="eastAsia"/>
          <w:b w:val="0"/>
          <w:bCs w:val="0"/>
          <w:sz w:val="32"/>
          <w:szCs w:val="32"/>
        </w:rPr>
        <w:t xml:space="preserve">公务用车购置费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增加0.00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增长0%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未发生车辆购置，车辆运行费减少是因财政要求“三公经费”预算支出缩减10%，预计减少公车运行服务费0.50万元</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ascii="宋体" w:eastAsia="宋体" w:hAnsi="宋体" w:asciiTheme="minorEastAsia" w:eastAsiaTheme="minorEastAsia" w:hAnsiTheme="minorEastAsia" w:cs="Arial" w:cstheme="minorEastAsia" w:hint="eastAsia"/>
          <w:b w:val="0"/>
          <w:bCs w:val="0"/>
          <w:sz w:val="32"/>
          <w:szCs w:val="32"/>
        </w:rPr>
      </w:pPr>
      <w:r>
        <w:rPr>
          <w:rFonts w:ascii="宋体" w:eastAsia="宋体" w:hAnsi="宋体" w:asciiTheme="minorEastAsia" w:eastAsiaTheme="minorEastAsia" w:hAnsiTheme="minorEastAsia" w:cs="Arial" w:cstheme="minorEastAsia" w:hint="eastAsia"/>
          <w:b w:val="0"/>
          <w:bCs w:val="0"/>
          <w:sz w:val="32"/>
          <w:szCs w:val="32"/>
        </w:rPr>
        <w:t xml:space="preserve">公务用车运行维护费</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b w:val="0"/>
          <w:bCs w:val="0"/>
          <w:sz w:val="32"/>
          <w:szCs w:val="32"/>
        </w:rPr>
        <w:t xml:space="preserve">年预算安排</w:t>
      </w:r>
      <w:r>
        <w:rPr>
          <w:sz w:val="32"/>
          <w:u w:color="auto"/>
        </w:rPr>
        <w:t xml:space="preserve">4.50</w:t>
      </w:r>
      <w:r>
        <w:rPr>
          <w:rFonts w:ascii="宋体" w:eastAsia="宋体" w:hAnsi="宋体" w:asciiTheme="minorEastAsia" w:eastAsiaTheme="minorEastAsia" w:hAnsiTheme="minorEastAsia" w:cs="Arial" w:cstheme="minorEastAsia" w:hint="eastAsia"/>
          <w:b w:val="0"/>
          <w:bCs w:val="0"/>
          <w:sz w:val="32"/>
          <w:szCs w:val="32"/>
        </w:rPr>
        <w:t xml:space="preserve">万元，较2023年度预算数</w:t>
      </w:r>
      <w:r>
        <w:rPr>
          <w:sz w:val="32"/>
          <w:u w:color="auto"/>
        </w:rPr>
        <w:t xml:space="preserve">5.00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减少0.50</w:t>
      </w:r>
      <w:r>
        <w:rPr>
          <w:rFonts w:ascii="宋体" w:eastAsia="宋体" w:hAnsi="宋体" w:asciiTheme="minorEastAsia" w:eastAsiaTheme="minorEastAsia" w:hAnsiTheme="minorEastAsia" w:cs="Arial" w:cstheme="minorEastAsia" w:hint="eastAsia"/>
          <w:b w:val="0"/>
          <w:bCs w:val="0"/>
          <w:sz w:val="32"/>
          <w:szCs w:val="32"/>
        </w:rPr>
        <w:t xml:space="preserve">万元，</w:t>
      </w:r>
      <w:r>
        <w:rPr>
          <w:sz w:val="32"/>
          <w:u w:color="auto"/>
        </w:rPr>
        <w:t xml:space="preserve">下降10.00%</w:t>
      </w:r>
      <w:r>
        <w:rPr>
          <w:rFonts w:ascii="宋体" w:eastAsia="宋体" w:hAnsi="宋体" w:asciiTheme="minorEastAsia" w:eastAsiaTheme="minorEastAsia" w:hAnsiTheme="minorEastAsia" w:cs="Arial" w:cstheme="minorEastAsia" w:hint="eastAsia"/>
          <w:b w:val="0"/>
          <w:bCs w:val="0"/>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财政要求三公经费预算支出要求缩减10%，预计减少车辆维修费0.50万元。</w:t>
      </w:r>
      <w:r>
        <w:rPr>
          <w:rFonts w:ascii="宋体" w:eastAsia="宋体" w:hAnsi="宋体" w:asciiTheme="minorEastAsia" w:eastAsiaTheme="minorEastAsia" w:hAnsiTheme="minorEastAsia" w:cs="Arial" w:cstheme="minorEastAsia" w:hint="eastAsia"/>
          <w:b w:val="0"/>
          <w:bCs w:val="0"/>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r>
        <w:rPr>
          <w:rFonts w:ascii="宋体" w:eastAsia="宋体" w:hAnsi="宋体" w:asciiTheme="minorEastAsia" w:eastAsiaTheme="minorEastAsia" w:hAnsiTheme="minorEastAsia" w:cs="Arial" w:cstheme="minorEastAsia" w:hint="eastAsia"/>
          <w:b/>
          <w:bCs/>
          <w:sz w:val="32"/>
          <w:szCs w:val="32"/>
          <w:lang w:val="en-US" w:eastAsia="zh-CN"/>
        </w:rPr>
        <w:t xml:space="preserve">八</w:t>
      </w:r>
      <w:bookmarkEnd w:id="14"/>
      <w:r>
        <w:rPr>
          <w:rFonts w:ascii="宋体" w:eastAsia="宋体" w:hAnsi="宋体" w:asciiTheme="minorEastAsia" w:eastAsiaTheme="minorEastAsia" w:hAnsiTheme="minorEastAsia" w:cs="Arial" w:cstheme="minorEastAsia" w:hint="eastAsia"/>
          <w:b/>
          <w:bCs/>
          <w:sz w:val="32"/>
          <w:szCs w:val="32"/>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rPr>
        <w:t xml:space="preserve">我部门</w:t>
      </w:r>
      <w:r>
        <w:rPr>
          <w:rFonts w:ascii="宋体" w:eastAsia="宋体" w:hAnsi="宋体" w:asciiTheme="minorEastAsia" w:eastAsiaTheme="minorEastAsia" w:hAnsiTheme="minorEastAsia" w:cs="Arial" w:cstheme="minorEastAsia" w:hint="eastAsia"/>
          <w:b w:val="0"/>
          <w:bCs w:val="0"/>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rPr>
        <w:t xml:space="preserve">年政府性基金预算支出共</w:t>
      </w:r>
      <w:r>
        <w:rPr>
          <w:rFonts w:ascii="宋体" w:eastAsia="宋体" w:hAnsi="宋体" w:asciiTheme="minorEastAsia" w:eastAsiaTheme="minorEastAsia" w:hAnsiTheme="minorEastAsia" w:cs="Arial" w:cstheme="minorEastAsia" w:hint="eastAsia"/>
          <w:b w:val="0"/>
          <w:bCs w:val="0"/>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b w:val="0"/>
          <w:bCs w:val="0"/>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eastAsia="zh-CN"/>
        </w:rPr>
        <w:t xml:space="preserve">增加0.00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b w:val="0"/>
          <w:bCs w:val="0"/>
          <w:sz w:val="32"/>
          <w:szCs w:val="32"/>
          <w:lang w:eastAsia="zh-CN"/>
        </w:rPr>
        <w:t xml:space="preserve">增长0%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单位2024年无政府性基金预算</w:t>
      </w:r>
      <w:r>
        <w:rPr>
          <w:rFonts w:ascii="宋体" w:eastAsia="宋体" w:hAnsi="宋体" w:asciiTheme="minorEastAsia" w:eastAsiaTheme="minorEastAsia" w:hAnsiTheme="minorEastAsia" w:cs="Arial" w:cstheme="minorEastAsia" w:hint="eastAsia"/>
          <w:sz w:val="32"/>
          <w:szCs w:val="32"/>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ascii="宋体" w:eastAsia="宋体" w:hAnsi="宋体" w:asciiTheme="minorEastAsia" w:eastAsiaTheme="minorEastAsia" w:hAnsiTheme="minorEastAsia" w:cs="Arial" w:cstheme="minorEastAsia" w:hint="eastAsia"/>
          <w:b/>
          <w:bCs/>
          <w:sz w:val="32"/>
          <w:szCs w:val="32"/>
          <w:lang w:val="en-US" w:eastAsia="zh-CN"/>
        </w:rPr>
      </w:pPr>
      <w:bookmarkStart w:id="15" w:name="bookmark91"/>
      <w:r>
        <w:rPr>
          <w:rFonts w:ascii="宋体" w:eastAsia="宋体" w:hAnsi="宋体" w:asciiTheme="minorEastAsia" w:eastAsiaTheme="minorEastAsia" w:hAnsiTheme="minorEastAsia" w:cs="Arial" w:cstheme="minorEastAsia" w:hint="eastAsia"/>
          <w:b/>
          <w:bCs/>
          <w:sz w:val="32"/>
          <w:szCs w:val="32"/>
          <w:lang w:val="en-US" w:eastAsia="zh-CN"/>
        </w:rPr>
        <w:t xml:space="preserve">九</w:t>
      </w:r>
      <w:bookmarkEnd w:id="15"/>
      <w:r>
        <w:rPr>
          <w:rFonts w:ascii="宋体" w:eastAsia="宋体" w:hAnsi="宋体" w:asciiTheme="minorEastAsia" w:eastAsiaTheme="minorEastAsia" w:hAnsiTheme="minorEastAsia" w:cs="Arial" w:cstheme="minorEastAsia" w:hint="eastAsia"/>
          <w:b/>
          <w:bCs/>
          <w:sz w:val="32"/>
          <w:szCs w:val="32"/>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rPr>
        <w:t xml:space="preserve">我部门</w:t>
      </w:r>
      <w:r>
        <w:rPr>
          <w:rFonts w:ascii="宋体" w:eastAsia="宋体" w:hAnsi="宋体" w:asciiTheme="minorEastAsia" w:eastAsiaTheme="minorEastAsia" w:hAnsiTheme="minorEastAsia" w:cs="Arial" w:cstheme="minorEastAsia" w:hint="eastAsia"/>
          <w:sz w:val="32"/>
          <w:szCs w:val="32"/>
          <w:lang w:eastAsia="zh-CN"/>
        </w:rPr>
        <w:t xml:space="preserve">2024</w:t>
      </w:r>
      <w:r>
        <w:rPr>
          <w:rFonts w:ascii="宋体" w:eastAsia="宋体" w:hAnsi="宋体" w:asciiTheme="minorEastAsia" w:eastAsiaTheme="minorEastAsia" w:hAnsiTheme="minorEastAsia" w:cs="Arial" w:cstheme="minorEastAsia" w:hint="eastAsia"/>
          <w:sz w:val="32"/>
          <w:szCs w:val="32"/>
        </w:rPr>
        <w:t xml:space="preserve">年国有资本经营预算支出共</w:t>
      </w:r>
      <w:r>
        <w:rPr>
          <w:rFonts w:ascii="宋体" w:eastAsia="宋体" w:hAnsi="宋体" w:asciiTheme="minorEastAsia" w:eastAsiaTheme="minorEastAsia" w:hAnsiTheme="minorEastAsia" w:cs="Arial" w:cstheme="minorEastAsia" w:hint="eastAsia"/>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万元，较2023年度预算数</w:t>
      </w:r>
      <w:r>
        <w:rPr>
          <w:rFonts w:ascii="宋体" w:eastAsia="宋体" w:hAnsi="宋体" w:asciiTheme="minorEastAsia" w:eastAsiaTheme="minorEastAsia" w:hAnsiTheme="minorEastAsia" w:cs="Arial" w:cstheme="minorEastAsia" w:hint="eastAsia"/>
          <w:sz w:val="32"/>
          <w:szCs w:val="32"/>
          <w:lang w:eastAsia="zh-CN"/>
        </w:rPr>
        <w:t xml:space="preserve">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增加0.00</w:t>
      </w:r>
      <w:r>
        <w:rPr>
          <w:rFonts w:ascii="宋体" w:eastAsia="宋体" w:hAnsi="宋体" w:asciiTheme="minorEastAsia" w:eastAsiaTheme="minorEastAsia" w:hAnsiTheme="minorEastAsia" w:cs="Arial" w:cstheme="minorEastAsia" w:hint="eastAsia"/>
          <w:sz w:val="32"/>
          <w:szCs w:val="32"/>
        </w:rPr>
        <w:t xml:space="preserve">万元，</w:t>
      </w:r>
      <w:r>
        <w:rPr>
          <w:rFonts w:ascii="宋体" w:eastAsia="宋体" w:hAnsi="宋体" w:asciiTheme="minorEastAsia" w:eastAsiaTheme="minorEastAsia" w:hAnsiTheme="minorEastAsia" w:cs="Arial" w:cstheme="minorEastAsia" w:hint="eastAsia"/>
          <w:sz w:val="32"/>
          <w:szCs w:val="32"/>
          <w:lang w:eastAsia="zh-CN"/>
        </w:rPr>
        <w:t xml:space="preserve">增长0%</w:t>
      </w:r>
      <w:r>
        <w:rPr>
          <w:rFonts w:ascii="宋体" w:eastAsia="宋体" w:hAnsi="宋体" w:asciiTheme="minorEastAsia" w:eastAsiaTheme="minorEastAsia" w:hAnsiTheme="minorEastAsia" w:cs="Arial" w:cstheme="minorEastAsia" w:hint="eastAsia"/>
          <w:sz w:val="32"/>
          <w:szCs w:val="32"/>
        </w:rPr>
        <w:t xml:space="preserve">，主要原因是</w:t>
      </w:r>
      <w:r>
        <w:rPr>
          <w:rFonts w:ascii="宋体" w:eastAsia="宋体" w:hAnsi="宋体" w:asciiTheme="minorEastAsia" w:eastAsiaTheme="minorEastAsia" w:hAnsiTheme="minorEastAsia" w:cs="Arial" w:cstheme="minorEastAsia" w:hint="eastAsia"/>
          <w:sz w:val="32"/>
          <w:szCs w:val="32"/>
          <w:lang w:val="en-US" w:eastAsia="zh-CN"/>
        </w:rPr>
        <w:t xml:space="preserve">单位2024年无国有资本经营预算</w:t>
      </w:r>
      <w:r>
        <w:rPr>
          <w:rFonts w:ascii="宋体" w:eastAsia="宋体" w:hAnsi="宋体" w:asciiTheme="minorEastAsia" w:eastAsiaTheme="minorEastAsia" w:hAnsiTheme="minorEastAsia" w:cs="Arial" w:cstheme="minorEastAsia" w:hint="eastAsia"/>
          <w:sz w:val="32"/>
          <w:szCs w:val="32"/>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rFonts w:ascii="宋体" w:eastAsia="宋体" w:hAnsi="宋体" w:asciiTheme="minorEastAsia" w:eastAsiaTheme="minorEastAsia" w:hAnsiTheme="minorEastAsia" w:cs="Arial" w:cstheme="minorEastAsia" w:hint="eastAsia"/>
          <w:b/>
          <w:bCs/>
          <w:sz w:val="32"/>
          <w:szCs w:val="32"/>
        </w:rPr>
      </w:pPr>
      <w:r>
        <w:rPr>
          <w:rFonts w:ascii="宋体" w:eastAsia="宋体" w:hAnsi="宋体" w:asciiTheme="minorEastAsia" w:eastAsiaTheme="minorEastAsia" w:hAnsiTheme="minorEastAsia" w:cs="Arial" w:cstheme="minorEastAsia" w:hint="eastAsia"/>
          <w:b/>
          <w:bCs/>
          <w:sz w:val="32"/>
          <w:szCs w:val="32"/>
        </w:rPr>
        <w:t xml:space="preserve">十、其他重要事项</w:t>
      </w:r>
      <w:r>
        <w:rPr>
          <w:rFonts w:ascii="宋体" w:eastAsia="宋体" w:hAnsi="宋体" w:asciiTheme="minorEastAsia" w:eastAsiaTheme="minorEastAsia" w:hAnsiTheme="minorEastAsia" w:cs="Arial" w:cstheme="minorEastAsia" w:hint="eastAsia"/>
          <w:b/>
          <w:bCs/>
          <w:sz w:val="32"/>
          <w:szCs w:val="32"/>
          <w:lang w:val="en-US" w:eastAsia="zh-CN"/>
        </w:rPr>
        <w:t xml:space="preserve">情况</w:t>
      </w:r>
      <w:r>
        <w:rPr>
          <w:rFonts w:ascii="宋体" w:eastAsia="宋体" w:hAnsi="宋体" w:asciiTheme="minorEastAsia" w:eastAsiaTheme="minorEastAsia" w:hAnsiTheme="minorEastAsia" w:cs="Arial" w:cstheme="minorEastAsia" w:hint="eastAsia"/>
          <w:b/>
          <w:bCs/>
          <w:sz w:val="32"/>
          <w:szCs w:val="32"/>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（一）事业运行经费安排情况说明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2024</w:t>
      </w:r>
      <w:r>
        <w:rPr>
          <w:sz w:val="32"/>
          <w:u w:color="auto"/>
        </w:rPr>
        <w:t xml:space="preserve">年本部门机关运行经费预算</w:t>
      </w:r>
      <w:r>
        <w:rPr>
          <w:rFonts w:ascii="宋体" w:eastAsia="宋体" w:hAnsi="宋体" w:asciiTheme="minorEastAsia" w:eastAsiaTheme="minorEastAsia" w:hAnsiTheme="minorEastAsia" w:cs="Arial" w:cstheme="minorEastAsia" w:hint="eastAsia"/>
          <w:sz w:val="32"/>
          <w:szCs w:val="32"/>
          <w:lang w:val="en-US" w:eastAsia="zh-CN"/>
        </w:rPr>
        <w:t xml:space="preserve">24.46</w:t>
      </w:r>
      <w:r>
        <w:rPr>
          <w:rFonts w:ascii="宋体" w:eastAsia="宋体" w:hAnsi="宋体" w:asciiTheme="minorEastAsia" w:eastAsiaTheme="minorEastAsia" w:hAnsiTheme="minorEastAsia" w:cs="Arial" w:cstheme="minorEastAsia" w:hint="eastAsia"/>
          <w:sz w:val="32"/>
          <w:szCs w:val="32"/>
          <w:lang w:eastAsia="zh-CN"/>
        </w:rPr>
        <w:t xml:space="preserve">万元，较2023年度预算数</w:t>
      </w:r>
      <w:r>
        <w:rPr>
          <w:rFonts w:ascii="宋体" w:eastAsia="宋体" w:hAnsi="宋体" w:asciiTheme="minorEastAsia" w:eastAsiaTheme="minorEastAsia" w:hAnsiTheme="minorEastAsia" w:cs="Arial" w:cstheme="minorEastAsia" w:hint="eastAsia"/>
          <w:sz w:val="32"/>
          <w:szCs w:val="32"/>
          <w:lang w:val="en-US" w:eastAsia="zh-CN"/>
        </w:rPr>
        <w:t xml:space="preserve">21.40</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增加3.06</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增长14.30%</w:t>
      </w:r>
      <w:r>
        <w:rPr>
          <w:rFonts w:ascii="宋体" w:eastAsia="宋体" w:hAnsi="宋体" w:asciiTheme="minorEastAsia" w:eastAsiaTheme="minorEastAsia" w:hAnsiTheme="minorEastAsia" w:cs="Arial" w:cstheme="minorEastAsia" w:hint="eastAsia"/>
          <w:sz w:val="32"/>
          <w:szCs w:val="32"/>
          <w:lang w:eastAsia="zh-CN"/>
        </w:rPr>
        <w:t xml:space="preserve">，主要原因是：</w:t>
      </w:r>
      <w:r>
        <w:rPr>
          <w:rFonts w:ascii="宋体" w:eastAsia="宋体" w:hAnsi="宋体" w:asciiTheme="minorEastAsia" w:eastAsiaTheme="minorEastAsia" w:hAnsiTheme="minorEastAsia" w:cs="Arial" w:cstheme="minorEastAsia" w:hint="eastAsia"/>
          <w:sz w:val="32"/>
          <w:szCs w:val="32"/>
          <w:lang w:val="en-US" w:eastAsia="zh-CN"/>
        </w:rPr>
        <w:t xml:space="preserve">工会经费支出较2023年度预算数增加1.85万元，增长31.84%；福利费支出较2023年度预算数增加0.01万元，增长5.26%；其他商品和服务支出较2023年度预算数增加1.20万元，增长7.79%</w:t>
      </w:r>
      <w:r>
        <w:rPr>
          <w:rFonts w:ascii="宋体" w:eastAsia="宋体" w:hAnsi="宋体" w:asciiTheme="minorEastAsia" w:eastAsiaTheme="minorEastAsia" w:hAnsiTheme="minorEastAsia" w:cs="Arial" w:cstheme="minorEastAsia" w:hint="eastAsia"/>
          <w:sz w:val="32"/>
          <w:szCs w:val="32"/>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eastAsia="zh-CN"/>
        </w:rPr>
        <w:t xml:space="preserve">我部门2024年政府采购预算总金额</w:t>
      </w:r>
      <w:r>
        <w:rPr>
          <w:rFonts w:ascii="宋体" w:eastAsia="宋体" w:hAnsi="宋体" w:asciiTheme="minorEastAsia" w:eastAsiaTheme="minorEastAsia" w:hAnsiTheme="minorEastAsia" w:cs="Arial" w:cstheme="minorEastAsia" w:hint="eastAsia"/>
          <w:sz w:val="32"/>
          <w:szCs w:val="32"/>
          <w:lang w:val="en-US" w:eastAsia="zh-CN"/>
        </w:rPr>
        <w:t xml:space="preserve">7.05</w:t>
      </w:r>
      <w:r>
        <w:rPr>
          <w:rFonts w:ascii="宋体" w:eastAsia="宋体" w:hAnsi="宋体" w:asciiTheme="minorEastAsia" w:eastAsiaTheme="minorEastAsia" w:hAnsiTheme="minorEastAsia" w:cs="Arial" w:cstheme="minorEastAsia" w:hint="eastAsia"/>
          <w:sz w:val="32"/>
          <w:szCs w:val="32"/>
          <w:lang w:eastAsia="zh-CN"/>
        </w:rPr>
        <w:t xml:space="preserve">万元。其中：货物类采购</w:t>
      </w:r>
      <w:r>
        <w:rPr>
          <w:rFonts w:ascii="宋体" w:eastAsia="宋体" w:hAnsi="宋体" w:asciiTheme="minorEastAsia" w:eastAsiaTheme="minorEastAsia" w:hAnsiTheme="minorEastAsia" w:cs="Arial" w:cstheme="minorEastAsia" w:hint="eastAsia"/>
          <w:sz w:val="32"/>
          <w:szCs w:val="32"/>
          <w:lang w:val="en-US" w:eastAsia="zh-CN"/>
        </w:rPr>
        <w:t xml:space="preserve">4.10</w:t>
      </w:r>
      <w:r>
        <w:rPr>
          <w:rFonts w:ascii="宋体" w:eastAsia="宋体" w:hAnsi="宋体" w:asciiTheme="minorEastAsia" w:eastAsiaTheme="minorEastAsia" w:hAnsiTheme="minorEastAsia" w:cs="Arial" w:cstheme="minorEastAsia" w:hint="eastAsia"/>
          <w:sz w:val="32"/>
          <w:szCs w:val="32"/>
          <w:lang w:eastAsia="zh-CN"/>
        </w:rPr>
        <w:t xml:space="preserve">万元、工程类采购</w:t>
      </w:r>
      <w:r>
        <w:rPr>
          <w:rFonts w:ascii="宋体" w:eastAsia="宋体" w:hAnsi="宋体" w:asciiTheme="minorEastAsia" w:eastAsiaTheme="minorEastAsia" w:hAnsiTheme="minorEastAsia" w:cs="Arial" w:cstheme="minorEastAsia" w:hint="eastAsia"/>
          <w:sz w:val="32"/>
          <w:szCs w:val="32"/>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万元、服务类采购</w:t>
      </w:r>
      <w:r>
        <w:rPr>
          <w:rFonts w:ascii="宋体" w:eastAsia="宋体" w:hAnsi="宋体" w:asciiTheme="minorEastAsia" w:eastAsiaTheme="minorEastAsia" w:hAnsiTheme="minorEastAsia" w:cs="Arial" w:cstheme="minorEastAsia" w:hint="eastAsia"/>
          <w:sz w:val="32"/>
          <w:szCs w:val="32"/>
          <w:lang w:val="en-US" w:eastAsia="zh-CN"/>
        </w:rPr>
        <w:t xml:space="preserve">2.95</w:t>
      </w:r>
      <w:r>
        <w:rPr>
          <w:rFonts w:ascii="宋体" w:eastAsia="宋体" w:hAnsi="宋体" w:asciiTheme="minorEastAsia" w:eastAsiaTheme="minorEastAsia" w:hAnsiTheme="minorEastAsia" w:cs="Arial" w:cstheme="minorEastAsia" w:hint="eastAsia"/>
          <w:sz w:val="32"/>
          <w:szCs w:val="32"/>
          <w:lang w:eastAsia="zh-CN"/>
        </w:rPr>
        <w:t xml:space="preserve">万元。</w:t>
      </w:r>
      <w:r>
        <w:rPr>
          <w:rFonts w:ascii="宋体" w:eastAsia="宋体" w:hAnsi="宋体" w:asciiTheme="minorEastAsia" w:eastAsiaTheme="minorEastAsia" w:hAnsiTheme="minorEastAsia" w:cs="Arial" w:cstheme="minorEastAsia" w:hint="eastAsia"/>
          <w:sz w:val="32"/>
          <w:szCs w:val="32"/>
          <w:lang w:val="en-US" w:eastAsia="zh-CN"/>
        </w:rPr>
        <w:t xml:space="preserve">主要用于：车辆保险及维修8次，预计2.95万元。</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截至2023年12月31日，本部门共有车辆</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3</w:t>
      </w:r>
      <w:r>
        <w:rPr>
          <w:rFonts w:ascii="宋体" w:eastAsia="宋体" w:hAnsi="宋体" w:asciiTheme="minorEastAsia" w:eastAsiaTheme="minorEastAsia" w:hAnsiTheme="minorEastAsia" w:cs="Arial" w:cstheme="minorEastAsia" w:hint="eastAsia"/>
          <w:sz w:val="32"/>
          <w:szCs w:val="32"/>
          <w:lang w:eastAsia="zh-CN"/>
        </w:rPr>
        <w:t xml:space="preserve">辆，其中，应急机要通信用车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0</w:t>
      </w:r>
      <w:r>
        <w:rPr>
          <w:rFonts w:ascii="宋体" w:eastAsia="宋体" w:hAnsi="宋体" w:asciiTheme="minorEastAsia" w:eastAsiaTheme="minorEastAsia" w:hAnsiTheme="minorEastAsia" w:cs="Arial" w:cstheme="minorEastAsia" w:hint="eastAsia"/>
          <w:sz w:val="32"/>
          <w:szCs w:val="32"/>
          <w:lang w:eastAsia="zh-CN"/>
        </w:rPr>
        <w:t xml:space="preserve">辆、一般执法执勤用车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w:t>
      </w:r>
      <w:r>
        <w:rPr>
          <w:rFonts w:ascii="宋体" w:eastAsia="宋体" w:hAnsi="宋体" w:asciiTheme="minorEastAsia" w:eastAsiaTheme="minorEastAsia" w:hAnsiTheme="minorEastAsia" w:cs="Arial" w:cstheme="minorEastAsia" w:hint="eastAsia"/>
          <w:sz w:val="32"/>
          <w:szCs w:val="32"/>
          <w:lang w:eastAsia="zh-CN"/>
        </w:rPr>
        <w:t xml:space="preserve">辆、特种专业技术用车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w:t>
      </w:r>
      <w:r>
        <w:rPr>
          <w:rFonts w:ascii="宋体" w:eastAsia="宋体" w:hAnsi="宋体" w:asciiTheme="minorEastAsia" w:eastAsiaTheme="minorEastAsia" w:hAnsiTheme="minorEastAsia" w:cs="Arial" w:cstheme="minorEastAsia" w:hint="eastAsia"/>
          <w:sz w:val="32"/>
          <w:szCs w:val="32"/>
          <w:lang w:eastAsia="zh-CN"/>
        </w:rPr>
        <w:t xml:space="preserve">辆、其他用车</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w:t>
      </w:r>
      <w:r>
        <w:rPr>
          <w:rFonts w:ascii="宋体" w:eastAsia="宋体" w:hAnsi="宋体" w:asciiTheme="minorEastAsia" w:eastAsiaTheme="minorEastAsia" w:hAnsiTheme="minorEastAsia" w:cs="Arial" w:cstheme="minorEastAsia" w:hint="eastAsia"/>
          <w:sz w:val="32"/>
          <w:szCs w:val="32"/>
          <w:lang w:eastAsia="zh-CN"/>
        </w:rPr>
        <w:t xml:space="preserve">辆，单位价值200万元以上大型设备</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w:t>
      </w:r>
      <w:r>
        <w:rPr>
          <w:rFonts w:ascii="宋体" w:eastAsia="宋体" w:hAnsi="宋体" w:asciiTheme="minorEastAsia" w:eastAsiaTheme="minorEastAsia" w:hAnsiTheme="minorEastAsia" w:cs="Arial" w:cstheme="minorEastAsia" w:hint="eastAsia"/>
          <w:sz w:val="32"/>
          <w:szCs w:val="32"/>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1.我部门2024年所有项目支出全面实施绩效目标管理，涉及项目</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2</w:t>
      </w:r>
      <w:r>
        <w:rPr>
          <w:rFonts w:ascii="宋体" w:eastAsia="宋体" w:hAnsi="宋体" w:asciiTheme="minorEastAsia" w:eastAsiaTheme="minorEastAsia" w:hAnsiTheme="minorEastAsia" w:cs="Arial" w:cstheme="minorEastAsia" w:hint="eastAsia"/>
          <w:sz w:val="32"/>
          <w:szCs w:val="32"/>
          <w:lang w:eastAsia="zh-CN"/>
        </w:rPr>
        <w:t xml:space="preserve">个，预算资金</w:t>
      </w: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153</w:t>
      </w:r>
      <w:r>
        <w:rPr>
          <w:rFonts w:ascii="宋体" w:eastAsia="宋体" w:hAnsi="宋体" w:asciiTheme="minorEastAsia" w:eastAsiaTheme="minorEastAsia" w:hAnsiTheme="minorEastAsia" w:cs="Arial" w:cstheme="minorEastAsia" w:hint="eastAsia"/>
          <w:sz w:val="32"/>
          <w:szCs w:val="32"/>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asciiTheme="minorEastAsia" w:eastAsiaTheme="minorEastAsia" w:hAnsiTheme="minorEastAsia" w:cs="Arial" w:cstheme="minorEastAsia" w:hint="eastAsia"/>
          <w:sz w:val="32"/>
          <w:szCs w:val="32"/>
          <w:highlight w:val="none"/>
          <w:lang w:val="en-US" w:eastAsia="zh-CN"/>
        </w:rPr>
      </w:pPr>
      <w:r>
        <w:rPr>
          <w:rFonts w:ascii="宋体" w:eastAsia="宋体" w:hAnsi="宋体" w:asciiTheme="minorEastAsia" w:eastAsiaTheme="minorEastAsia" w:hAnsiTheme="minorEastAsia" w:cs="Arial" w:cstheme="minorEastAsia" w:hint="eastAsia"/>
          <w:sz w:val="32"/>
          <w:szCs w:val="32"/>
          <w:highlight w:val="none"/>
          <w:lang w:val="en-US" w:eastAsia="zh-CN"/>
        </w:rPr>
        <w:t xml:space="preserve">监督抽样经费117万元。绩效目标：对河池辖区内的食品（生产、餐饮、流通、食用农产品）、保健食品、化妆品、药品进行监督抽检，为保障人民群众饮食、用药安全提供技术支撑。完成我所受广西壮族自治区药品监督管理局委托全年的抽检任务74批（河池辖区药品生产企业、医院制剂）。完成河池市市场监督管理局委托全年的药品抽检任务125批、化妆品抽检任务83批、食品（含保健食品）抽检任务2280批，应急执法办案300批。2024年我所拟承担广西壮族自治区药品监督管理局委托全年的药品抽检任务70批（河池辖区药品生产企业、医院制剂），承担河池市市场监督管理局委托全年的抽检任务2788批，分别是食品（生产、餐饮、流通、食用农产品）2222批，保健品（特殊食品）58批，化妆品80批，药品120批，应急执法办案300批。完成的各项指标：1、质量指标：委托方投诉率≤5%；检验服务及时≥95%；检验/检测报告事故率≤0.2%。2、时效指标：药品检验报告时限≤25天；化妆品检验报告时限≤30天；食品监督抽检报告时限≤35天。3、成本指标：药品检验成本≥4000元/批；化妆品检验成本≥2700元/批；食品检验成本≥650元/批。4、效益指标：食品、药品、保化的质量安全监督提供技术支撑，检验/检测报告事故率≤0.2%。5、服务对象满意度：对检验结果的满意度=100%。</w:t>
      </w:r>
    </w:p>
    <w:p>
      <w:pPr>
        <w:pStyle w:val="Bodytext|1"/>
        <w:spacing w:line="624" w:lineRule="exact"/>
        <w:ind w:firstLine="600"/>
        <w:jc w:val="left"/>
        <w:rPr>
          <w:rFonts w:ascii="宋体" w:eastAsia="宋体" w:hAnsi="宋体" w:asciiTheme="minorEastAsia" w:eastAsiaTheme="minorEastAsia" w:hAnsiTheme="minorEastAsia" w:cs="Arial" w:cstheme="minorEastAsia" w:hint="eastAsia"/>
          <w:sz w:val="32"/>
          <w:szCs w:val="32"/>
          <w:highlight w:val="none"/>
          <w:lang w:val="en-US" w:eastAsia="zh-CN"/>
        </w:rPr>
      </w:pPr>
    </w:p>
    <w:p>
      <w:pPr>
        <w:pStyle w:val="Bodytext|1"/>
        <w:spacing w:line="624" w:lineRule="exact"/>
        <w:jc w:val="left"/>
        <w:rPr>
          <w:rFonts w:ascii="宋体" w:eastAsia="宋体" w:hAnsi="宋体" w:asciiTheme="minorEastAsia" w:eastAsiaTheme="minorEastAsia" w:hAnsiTheme="minorEastAsia" w:cs="Arial" w:cstheme="minorEastAsia" w:hint="eastAsia"/>
          <w:sz w:val="32"/>
          <w:szCs w:val="32"/>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asciiTheme="minorEastAsia" w:eastAsiaTheme="minorEastAsia" w:hAnsiTheme="minorEastAsia" w:cs="Arial" w:cstheme="minorEastAsia" w:hint="eastAsia"/>
          <w:b/>
          <w:bCs/>
          <w:sz w:val="32"/>
          <w:szCs w:val="32"/>
        </w:rPr>
      </w:pPr>
      <w:bookmarkEnd w:id="10"/>
      <w:bookmarkEnd w:id="11"/>
      <w:bookmarkEnd w:id="12"/>
      <w:r>
        <w:rPr>
          <w:rFonts w:ascii="黑体" w:eastAsia="黑体" w:hAnsi="黑体" w:cs="黑体" w:hint="eastAsia"/>
          <w:b w:val="0"/>
          <w:bCs w:val="0"/>
          <w:sz w:val="32"/>
          <w:szCs w:val="32"/>
        </w:rPr>
        <w:t xml:space="preserve">第</w:t>
      </w:r>
      <w:r>
        <w:rPr>
          <w:rFonts w:ascii="黑体" w:eastAsia="黑体" w:hAnsi="黑体" w:cs="黑体" w:hint="eastAsia"/>
          <w:b w:val="0"/>
          <w:bCs w:val="0"/>
          <w:sz w:val="32"/>
          <w:szCs w:val="32"/>
          <w:lang w:val="en-US" w:eastAsia="zh-CN"/>
        </w:rPr>
        <w:t xml:space="preserve">三</w:t>
      </w:r>
      <w:r>
        <w:rPr>
          <w:rFonts w:ascii="黑体" w:eastAsia="黑体" w:hAnsi="黑体" w:cs="黑体" w:hint="eastAsia"/>
          <w:b w:val="0"/>
          <w:bCs w:val="0"/>
          <w:sz w:val="32"/>
          <w:szCs w:val="32"/>
        </w:rPr>
        <w:t xml:space="preserve">部分</w:t>
      </w:r>
      <w:r>
        <w:rPr>
          <w:rFonts w:ascii="黑体" w:eastAsia="黑体" w:hAnsi="黑体" w:cs="黑体" w:hint="eastAsia"/>
          <w:b w:val="0"/>
          <w:bCs w:val="0"/>
          <w:sz w:val="32"/>
          <w:szCs w:val="32"/>
          <w:lang w:eastAsia="zh-CN"/>
        </w:rPr>
        <w:t xml:space="preserve">河池市食品药品检验所</w:t>
      </w:r>
      <w:r>
        <w:rPr>
          <w:rFonts w:ascii="黑体" w:eastAsia="黑体" w:hAnsi="黑体" w:cs="黑体"/>
          <w:sz w:val="32"/>
          <w:u w:color="auto"/>
        </w:rPr>
        <w:t xml:space="preserve">2024</w:t>
      </w:r>
      <w:r>
        <w:rPr>
          <w:rFonts w:ascii="黑体" w:eastAsia="黑体" w:hAnsi="黑体" w:cs="黑体"/>
          <w:sz w:val="32"/>
          <w:u w:color="auto"/>
        </w:rPr>
        <w:t xml:space="preserve">年</w:t>
      </w:r>
      <w:r>
        <w:rPr>
          <w:rFonts w:ascii="黑体" w:eastAsia="黑体" w:hAnsi="黑体" w:cs="黑体" w:hint="eastAsia"/>
          <w:b w:val="0"/>
          <w:bCs w:val="0"/>
          <w:sz w:val="32"/>
          <w:szCs w:val="32"/>
        </w:rPr>
        <w:t xml:space="preserve">部门预算表</w:t>
      </w:r>
    </w:p>
    <w:p>
      <w:pPr>
        <w:pStyle w:val="Heading#2|1"/>
        <w:keepNext/>
        <w:keepLines/>
        <w:tabs>
          <w:tab w:val="center" w:pos="7730"/>
          <w:tab w:val="left" w:pos="13278"/>
        </w:tabs>
        <w:spacing w:after="240"/>
        <w:jc w:val="center"/>
        <w:rPr>
          <w:rFonts w:ascii="宋体" w:eastAsia="宋体" w:hAnsi="宋体" w:asciiTheme="minorEastAsia" w:eastAsiaTheme="minorEastAsia" w:hAnsiTheme="minorEastAsia" w:cs="Arial" w:cstheme="minorEastAsia" w:hint="eastAsia"/>
          <w:sz w:val="32"/>
          <w:szCs w:val="32"/>
          <w:lang w:eastAsia="zh-CN"/>
        </w:rPr>
      </w:pPr>
      <w:bookmarkStart w:id="16" w:name="bookmark31"/>
      <w:bookmarkStart w:id="17" w:name="bookmark30"/>
      <w:bookmarkStart w:id="18" w:name="bookmark29"/>
      <w:r>
        <w:rPr>
          <w:rFonts w:ascii="宋体" w:eastAsia="宋体" w:hAnsi="宋体" w:asciiTheme="minorEastAsia" w:eastAsiaTheme="minorEastAsia" w:hAnsiTheme="minorEastAsia" w:cs="Arial" w:cstheme="minorEastAsia" w:hint="eastAsia"/>
          <w:sz w:val="32"/>
          <w:szCs w:val="32"/>
        </w:rPr>
        <w:t xml:space="preserve">收支总体情况表</w:t>
      </w:r>
      <w:bookmarkEnd w:id="16"/>
      <w:bookmarkEnd w:id="17"/>
      <w:bookmarkEnd w:id="18"/>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3609"/>
        <w:gridCol w:w="4064"/>
        <w:gridCol w:w="3828"/>
        <w:gridCol w:w="3859"/>
      </w:tblGrid>
      <w:tr>
        <w:tblPrEx>
          <w:tblW w:w="5000" w:type="pct"/>
          <w:tblInd w:w="0" w:type="dxa"/>
          <w:tblLayout w:type="fixed"/>
          <w:tblCellMar>
            <w:top w:w="0" w:type="dxa"/>
            <w:left w:w="10" w:type="dxa"/>
            <w:bottom w:w="0" w:type="dxa"/>
            <w:right w:w="10" w:type="dxa"/>
          </w:tblCellMar>
        </w:tblPrEx>
        <w:trPr>
          <w:cantSplit/>
          <w:trHeight w:hRule="exact" w:val="443"/>
        </w:trPr>
        <w:tc>
          <w:tcPr>
            <w:tcW w:w="11485" w:type="dxa"/>
            <w:gridSpan w:val="3"/>
            <w:tcBorders>
              <w:bottom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河池市食品药品检验所</w:t>
            </w:r>
          </w:p>
        </w:tc>
        <w:tc>
          <w:tcPr>
            <w:tcW w:w="3854" w:type="dxa"/>
            <w:tcBorders>
              <w:bottom w:val="single" w:sz="4" w:space="0" w:color="auto"/>
            </w:tcBorders>
            <w:shd w:val="clear" w:color="auto" w:fill="FFFFFF"/>
          </w:tcPr>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表01</w:t>
            </w:r>
          </w:p>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476"/>
        </w:trPr>
        <w:tc>
          <w:tcPr>
            <w:tcW w:w="7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收入</w:t>
            </w:r>
          </w:p>
        </w:tc>
        <w:tc>
          <w:tcPr>
            <w:tcW w:w="7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支出</w:t>
            </w:r>
          </w:p>
        </w:tc>
      </w:tr>
      <w:tr>
        <w:tblPrEx>
          <w:tblW w:w="5000" w:type="pct"/>
          <w:tblInd w:w="0" w:type="dxa"/>
          <w:tblLayout w:type="fixed"/>
          <w:tblCellMar>
            <w:top w:w="0" w:type="dxa"/>
            <w:left w:w="10" w:type="dxa"/>
            <w:bottom w:w="0" w:type="dxa"/>
            <w:right w:w="10" w:type="dxa"/>
          </w:tblCellMar>
        </w:tblPrEx>
        <w:trPr>
          <w:cantSplit/>
          <w:trHeight w:hRule="exact" w:val="45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项目</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目（按支出功能科目分类）</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一、一般公共预算拨款</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765.95</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一、一般公共服务支出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569.52</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二、外交支出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765.95</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三、国防支出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二、政府性基金预算拨款</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四、公共安全支出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五、教育支出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六、科学技术支出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三、国有资本经营预算拨款</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七、文化旅游体育与传媒支出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八、社会保障和就业支出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105.76</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九、卫生健康支出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44.75</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四、财政专户管理资金收入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十、节能环保支出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五、事业收入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十一、城乡社区支出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六、事业单位经营收入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十二、农林水支出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七、上级补助收入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十三、交通运输支出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八、附属单位上缴收入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十四、资源勘探工业信息等支出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九、其他收入</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十五、商业服务业等支出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十六、金融支出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十七、援助其他地区支出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十八、自然资源海洋气象等支出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十九、住房保障支出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45.94</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二十、粮油物资储备支出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二十一、国有资本经营预算支出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二十二、灾害防治及应急管理支出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二十三、其他支出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二十四、债务还本支出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二十五、债务付息支出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二十六、债务发行费用支出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本年收入合计</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765.95</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本年支出合计</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765.95</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上年结转结余</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结转下年支出</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81"/>
        </w:trPr>
        <w:tc>
          <w:tcPr>
            <w:tcW w:w="360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收入总计</w:t>
            </w:r>
          </w:p>
        </w:tc>
        <w:tc>
          <w:tcPr>
            <w:tcW w:w="405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765.95</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支出总计</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765.95</w:t>
            </w:r>
          </w:p>
        </w:tc>
      </w:tr>
    </w:tbl>
    <w:p>
      <w:pPr>
        <w:pStyle w:val="Tablecaption|1"/>
        <w:ind w:left="101"/>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注：报表金额单位转换时可能存在四舍五入尾数误差。</w:t>
      </w: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ascii="宋体" w:eastAsia="宋体" w:hAnsi="宋体" w:asciiTheme="minorEastAsia" w:eastAsiaTheme="minorEastAsia" w:hAnsiTheme="minorEastAsia" w:cs="Arial" w:cstheme="minorEastAsia" w:hint="eastAsia"/>
          <w:sz w:val="32"/>
          <w:szCs w:val="32"/>
          <w:lang w:eastAsia="zh-CN"/>
        </w:rPr>
      </w:pPr>
    </w:p>
    <w:p>
      <w:pPr>
        <w:tabs>
          <w:tab w:val="left" w:pos="859"/>
        </w:tabs>
        <w:jc w:val="center"/>
        <w:rPr>
          <w:rFonts w:ascii="宋体" w:eastAsia="宋体" w:hAnsi="宋体" w:asciiTheme="minorEastAsia" w:eastAsiaTheme="minorEastAsia" w:hAnsiTheme="minorEastAsia" w:cs="Arial" w:cstheme="minorEastAsia" w:hint="eastAsia"/>
          <w:sz w:val="32"/>
          <w:szCs w:val="32"/>
          <w:lang w:val="en-US" w:eastAsia="zh-CN"/>
        </w:rPr>
      </w:pPr>
    </w:p>
    <w:p>
      <w:pPr>
        <w:tabs>
          <w:tab w:val="left" w:pos="859"/>
          <w:tab w:val="center" w:pos="7730"/>
          <w:tab w:val="left" w:pos="14088"/>
        </w:tabs>
        <w:jc w:val="center"/>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收入总体情况表</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484"/>
        </w:trPr>
        <w:tc>
          <w:tcPr>
            <w:tcW w:w="13481" w:type="dxa"/>
            <w:gridSpan w:val="13"/>
            <w:tcBorders>
              <w:top w:val="nil"/>
              <w:left w:val="nil"/>
              <w:right w:val="nil"/>
            </w:tcBorders>
          </w:tcPr>
          <w:p>
            <w:pPr>
              <w:pStyle w:val="Tablecaption|1"/>
              <w:jc w:val="left"/>
              <w:rPr>
                <w:rFonts w:ascii="宋体" w:eastAsia="宋体" w:hAnsi="宋体" w:asciiTheme="minorEastAsia" w:eastAsiaTheme="minorEastAsia" w:hAnsiTheme="minorEastAsia" w:cs="Arial" w:cstheme="minorEastAsia" w:hint="eastAsia"/>
                <w:sz w:val="18"/>
                <w:szCs w:val="18"/>
              </w:rPr>
            </w:pPr>
          </w:p>
          <w:p>
            <w:pPr>
              <w:pStyle w:val="Tablecaption|1"/>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河池市食品药品检验所</w:t>
            </w:r>
          </w:p>
        </w:tc>
        <w:tc>
          <w:tcPr>
            <w:tcW w:w="2076" w:type="dxa"/>
            <w:gridSpan w:val="3"/>
            <w:tcBorders>
              <w:top w:val="nil"/>
              <w:left w:val="nil"/>
              <w:right w:val="nil"/>
            </w:tcBorders>
          </w:tcPr>
          <w:p>
            <w:pPr>
              <w:keepNext w:val="0"/>
              <w:keepLines w:val="0"/>
              <w:pageBreakBefore w:val="0"/>
              <w:widowControl w:val="0"/>
              <w:tabs>
                <w:tab w:val="left" w:pos="859"/>
                <w:tab w:val="center" w:pos="7730"/>
                <w:tab w:val="left" w:pos="14088"/>
              </w:tabs>
              <w:kinsoku/>
              <w:wordWrap/>
              <w:overflowPunct/>
              <w:topLinePunct w:val="0"/>
              <w:autoSpaceDE/>
              <w:autoSpaceDN/>
              <w:bidi w:val="0"/>
              <w:adjustRightInd/>
              <w:snapToGrid/>
              <w:spacing w:line="0" w:lineRule="atLeast"/>
              <w:jc w:val="right"/>
              <w:textAlignment w:val="auto"/>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表02</w:t>
            </w:r>
          </w:p>
          <w:p>
            <w:pPr>
              <w:keepNext w:val="0"/>
              <w:keepLines w:val="0"/>
              <w:pageBreakBefore w:val="0"/>
              <w:widowControl w:val="0"/>
              <w:tabs>
                <w:tab w:val="left" w:pos="859"/>
                <w:tab w:val="center" w:pos="7730"/>
                <w:tab w:val="left" w:pos="14088"/>
              </w:tabs>
              <w:kinsoku/>
              <w:wordWrap/>
              <w:overflowPunct/>
              <w:topLinePunct w:val="0"/>
              <w:autoSpaceDE/>
              <w:autoSpaceDN/>
              <w:bidi w:val="0"/>
              <w:adjustRightInd/>
              <w:snapToGrid/>
              <w:spacing w:line="0" w:lineRule="atLeast"/>
              <w:jc w:val="right"/>
              <w:textAlignment w:val="auto"/>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1279" w:type="dxa"/>
            <w:vMerge w:val="restart"/>
            <w:vAlign w:val="center"/>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部门（单位）名称</w:t>
            </w:r>
          </w:p>
        </w:tc>
        <w:tc>
          <w:tcPr>
            <w:tcW w:w="990" w:type="dxa"/>
            <w:vMerge w:val="restart"/>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合</w:t>
            </w:r>
            <w:r>
              <w:rPr>
                <w:rFonts w:ascii="宋体" w:eastAsia="宋体" w:hAnsi="宋体" w:asciiTheme="minorEastAsia" w:eastAsiaTheme="minorEastAsia" w:hAnsiTheme="minorEastAsia" w:cs="Arial" w:cstheme="minorEastAsia" w:hint="eastAsia"/>
                <w:sz w:val="18"/>
                <w:szCs w:val="18"/>
              </w:rPr>
              <w:t xml:space="preserve">计</w:t>
            </w:r>
          </w:p>
        </w:tc>
        <w:tc>
          <w:tcPr>
            <w:tcW w:w="5843" w:type="dxa"/>
            <w:gridSpan w:val="6"/>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本年收入</w:t>
            </w:r>
          </w:p>
        </w:tc>
        <w:tc>
          <w:tcPr>
            <w:tcW w:w="5809" w:type="dxa"/>
            <w:gridSpan w:val="7"/>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上年结转结余</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279" w:type="dxa"/>
            <w:vMerge/>
          </w:tcPr>
          <w:p>
            <w:pPr>
              <w:tabs>
                <w:tab w:val="left" w:pos="859"/>
              </w:tabs>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990" w:type="dxa"/>
            <w:vMerge/>
            <w:vAlign w:val="center"/>
          </w:tcPr>
          <w:p>
            <w:pPr>
              <w:pStyle w:val="Other|1"/>
              <w:spacing w:line="240" w:lineRule="auto"/>
              <w:ind w:firstLine="3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926" w:type="dxa"/>
            <w:vAlign w:val="center"/>
          </w:tcPr>
          <w:p>
            <w:pPr>
              <w:pStyle w:val="Other|1"/>
              <w:spacing w:line="240" w:lineRule="auto"/>
              <w:ind w:firstLine="3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909"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一般公共预算</w:t>
            </w:r>
          </w:p>
        </w:tc>
        <w:tc>
          <w:tcPr>
            <w:tcW w:w="968"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政府性基金预算</w:t>
            </w:r>
          </w:p>
        </w:tc>
        <w:tc>
          <w:tcPr>
            <w:tcW w:w="990"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国有资本经营预算</w:t>
            </w:r>
          </w:p>
        </w:tc>
        <w:tc>
          <w:tcPr>
            <w:tcW w:w="1078" w:type="dxa"/>
          </w:tcPr>
          <w:p>
            <w:pPr>
              <w:pStyle w:val="Other|1"/>
              <w:spacing w:line="312" w:lineRule="exact"/>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财政专户管理资金</w:t>
            </w:r>
          </w:p>
          <w:p>
            <w:pPr>
              <w:pStyle w:val="Other|1"/>
              <w:spacing w:line="312"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收入</w:t>
            </w:r>
          </w:p>
        </w:tc>
        <w:tc>
          <w:tcPr>
            <w:tcW w:w="97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单位资金</w:t>
            </w:r>
          </w:p>
        </w:tc>
        <w:tc>
          <w:tcPr>
            <w:tcW w:w="919" w:type="dxa"/>
            <w:vAlign w:val="center"/>
          </w:tcPr>
          <w:p>
            <w:pPr>
              <w:pStyle w:val="Other|1"/>
              <w:spacing w:line="240" w:lineRule="auto"/>
              <w:ind w:firstLine="3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1011"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一般公共预算</w:t>
            </w:r>
          </w:p>
        </w:tc>
        <w:tc>
          <w:tcPr>
            <w:tcW w:w="859" w:type="dxa"/>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政府性基金预算</w:t>
            </w:r>
          </w:p>
        </w:tc>
        <w:tc>
          <w:tcPr>
            <w:tcW w:w="1094" w:type="dxa"/>
            <w:gridSpan w:val="2"/>
            <w:vAlign w:val="center"/>
          </w:tcPr>
          <w:p>
            <w:pPr>
              <w:pStyle w:val="Other|1"/>
              <w:spacing w:line="317" w:lineRule="exact"/>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国有资本经营预算</w:t>
            </w:r>
          </w:p>
        </w:tc>
        <w:tc>
          <w:tcPr>
            <w:tcW w:w="937" w:type="dxa"/>
          </w:tcPr>
          <w:p>
            <w:pPr>
              <w:pStyle w:val="Other|1"/>
              <w:spacing w:line="312" w:lineRule="exact"/>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财政专户管理资金</w:t>
            </w:r>
          </w:p>
          <w:p>
            <w:pPr>
              <w:pStyle w:val="Other|1"/>
              <w:spacing w:line="312" w:lineRule="exact"/>
              <w:ind w:right="28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收入</w:t>
            </w:r>
          </w:p>
        </w:tc>
        <w:tc>
          <w:tcPr>
            <w:tcW w:w="989" w:type="dxa"/>
            <w:vAlign w:val="center"/>
          </w:tcPr>
          <w:p>
            <w:pPr>
              <w:pStyle w:val="Other|1"/>
              <w:spacing w:line="240" w:lineRule="auto"/>
              <w:ind w:firstLine="14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单位资金</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279" w:type="dxa"/>
          </w:tcPr>
          <w:p>
            <w:pPr>
              <w:tabs>
                <w:tab w:val="left" w:pos="859"/>
              </w:tabs>
              <w:jc w:val="both"/>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99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w:t>
            </w:r>
          </w:p>
        </w:tc>
        <w:tc>
          <w:tcPr>
            <w:tcW w:w="92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2</w:t>
            </w:r>
          </w:p>
        </w:tc>
        <w:tc>
          <w:tcPr>
            <w:tcW w:w="90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3</w:t>
            </w:r>
          </w:p>
        </w:tc>
        <w:tc>
          <w:tcPr>
            <w:tcW w:w="968"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4</w:t>
            </w:r>
          </w:p>
        </w:tc>
        <w:tc>
          <w:tcPr>
            <w:tcW w:w="990"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5</w:t>
            </w:r>
          </w:p>
        </w:tc>
        <w:tc>
          <w:tcPr>
            <w:tcW w:w="1078"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6</w:t>
            </w:r>
          </w:p>
        </w:tc>
        <w:tc>
          <w:tcPr>
            <w:tcW w:w="972"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7</w:t>
            </w:r>
          </w:p>
        </w:tc>
        <w:tc>
          <w:tcPr>
            <w:tcW w:w="919"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8</w:t>
            </w:r>
          </w:p>
        </w:tc>
        <w:tc>
          <w:tcPr>
            <w:tcW w:w="1011" w:type="dxa"/>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9</w:t>
            </w:r>
          </w:p>
        </w:tc>
        <w:tc>
          <w:tcPr>
            <w:tcW w:w="859" w:type="dxa"/>
            <w:vAlign w:val="center"/>
          </w:tcPr>
          <w:p>
            <w:pPr>
              <w:pStyle w:val="Other|1"/>
              <w:spacing w:line="240" w:lineRule="auto"/>
              <w:ind w:right="36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10</w:t>
            </w:r>
          </w:p>
        </w:tc>
        <w:tc>
          <w:tcPr>
            <w:tcW w:w="1094" w:type="dxa"/>
            <w:gridSpan w:val="2"/>
            <w:vAlign w:val="center"/>
          </w:tcPr>
          <w:p>
            <w:pPr>
              <w:pStyle w:val="Other|1"/>
              <w:spacing w:line="240" w:lineRule="auto"/>
              <w:ind w:left="0" w:firstLine="0" w:lef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11</w:t>
            </w:r>
          </w:p>
        </w:tc>
        <w:tc>
          <w:tcPr>
            <w:tcW w:w="937" w:type="dxa"/>
            <w:vAlign w:val="center"/>
          </w:tcPr>
          <w:p>
            <w:pPr>
              <w:pStyle w:val="Other|1"/>
              <w:spacing w:line="240" w:lineRule="auto"/>
              <w:ind w:right="38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12</w:t>
            </w:r>
          </w:p>
        </w:tc>
        <w:tc>
          <w:tcPr>
            <w:tcW w:w="989" w:type="dxa"/>
            <w:vAlign w:val="center"/>
          </w:tcPr>
          <w:p>
            <w:pPr>
              <w:pStyle w:val="Other|1"/>
              <w:spacing w:line="240" w:lineRule="auto"/>
              <w:ind w:right="42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13</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127003</w:t>
            </w:r>
          </w:p>
        </w:tc>
        <w:tc>
          <w:tcPr>
            <w:tcW w:w="1279" w:type="dxa"/>
          </w:tcPr>
          <w:p>
            <w:pPr>
              <w:pStyle w:val="Other|1"/>
              <w:spacing w:line="326" w:lineRule="exact"/>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河池市食品药品检验所</w:t>
            </w:r>
          </w:p>
        </w:tc>
        <w:tc>
          <w:tcPr>
            <w:tcW w:w="990"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765.95</w:t>
            </w:r>
          </w:p>
        </w:tc>
        <w:tc>
          <w:tcPr>
            <w:tcW w:w="926"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765.95</w:t>
            </w:r>
          </w:p>
        </w:tc>
        <w:tc>
          <w:tcPr>
            <w:tcW w:w="909"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765.95</w:t>
            </w:r>
          </w:p>
        </w:tc>
        <w:tc>
          <w:tcPr>
            <w:tcW w:w="968"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19" w:type="dxa"/>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011" w:type="dxa"/>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859" w:type="dxa"/>
            <w:vAlign w:val="center"/>
          </w:tcPr>
          <w:p>
            <w:pPr>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094" w:type="dxa"/>
            <w:gridSpan w:val="2"/>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37" w:type="dxa"/>
            <w:vAlign w:val="center"/>
          </w:tcPr>
          <w:p>
            <w:pPr>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989" w:type="dxa"/>
            <w:vAlign w:val="center"/>
          </w:tcPr>
          <w:p>
            <w:pPr>
              <w:spacing w:line="240" w:lineRule="auto"/>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tabs>
          <w:tab w:val="left" w:pos="859"/>
        </w:tabs>
        <w:jc w:val="both"/>
        <w:rPr>
          <w:rFonts w:ascii="宋体" w:eastAsia="宋体" w:hAnsi="宋体" w:asciiTheme="minorEastAsia" w:eastAsiaTheme="minorEastAsia" w:hAnsiTheme="minorEastAsia" w:cs="Arial" w:cstheme="minorEastAsia" w:hint="eastAsia"/>
          <w:sz w:val="32"/>
          <w:szCs w:val="32"/>
          <w:lang w:val="en-US" w:eastAsia="zh-CN"/>
        </w:rPr>
      </w:pPr>
    </w:p>
    <w:p>
      <w:pPr>
        <w:tabs>
          <w:tab w:val="left" w:pos="859"/>
        </w:tabs>
        <w:jc w:val="center"/>
        <w:rPr>
          <w:rFonts w:ascii="宋体" w:eastAsia="宋体" w:hAnsi="宋体" w:asciiTheme="minorEastAsia" w:eastAsiaTheme="minorEastAsia" w:hAnsiTheme="minorEastAsia" w:cs="Arial" w:cstheme="minorEastAsia" w:hint="eastAsia"/>
          <w:sz w:val="32"/>
          <w:szCs w:val="32"/>
          <w:lang w:val="en-US" w:eastAsia="zh-CN"/>
        </w:rPr>
      </w:pPr>
    </w:p>
    <w:p>
      <w:pPr>
        <w:tabs>
          <w:tab w:val="left" w:pos="859"/>
        </w:tabs>
        <w:jc w:val="both"/>
        <w:rPr>
          <w:rFonts w:ascii="宋体" w:eastAsia="宋体" w:hAnsi="宋体" w:asciiTheme="minorEastAsia" w:eastAsiaTheme="minorEastAsia" w:hAnsiTheme="minorEastAsia" w:cs="Arial" w:cstheme="minorEastAsia" w:hint="eastAsia"/>
          <w:sz w:val="32"/>
          <w:szCs w:val="32"/>
          <w:lang w:val="en-US" w:eastAsia="zh-CN"/>
        </w:rPr>
      </w:pPr>
    </w:p>
    <w:p>
      <w:pPr>
        <w:spacing w:line="1" w:lineRule="exact"/>
        <w:jc w:val="left"/>
        <w:rPr>
          <w:rFonts w:ascii="宋体" w:eastAsia="宋体" w:hAnsi="宋体" w:asciiTheme="minorEastAsia" w:eastAsiaTheme="minorEastAsia" w:hAnsiTheme="minorEastAsia" w:cs="Arial" w:cstheme="minorEastAsia" w:hint="eastAsia"/>
          <w:sz w:val="32"/>
          <w:szCs w:val="32"/>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tabs>
          <w:tab w:val="center" w:pos="7730"/>
          <w:tab w:val="left" w:pos="14602"/>
        </w:tabs>
        <w:spacing w:after="240"/>
        <w:jc w:val="center"/>
        <w:rPr>
          <w:rFonts w:ascii="宋体" w:eastAsia="宋体" w:hAnsi="宋体" w:asciiTheme="minorEastAsia" w:eastAsiaTheme="minorEastAsia" w:hAnsiTheme="minorEastAsia" w:cs="Arial" w:cstheme="minorEastAsia" w:hint="eastAsia"/>
          <w:sz w:val="32"/>
          <w:szCs w:val="32"/>
          <w:lang w:val="en-US" w:eastAsia="zh-CN"/>
        </w:rPr>
      </w:pPr>
      <w:bookmarkStart w:id="19" w:name="bookmark41"/>
      <w:bookmarkStart w:id="20" w:name="bookmark42"/>
      <w:bookmarkStart w:id="21" w:name="bookmark43"/>
      <w:r>
        <w:rPr>
          <w:rFonts w:ascii="宋体" w:eastAsia="宋体" w:hAnsi="宋体" w:asciiTheme="minorEastAsia" w:eastAsiaTheme="minorEastAsia" w:hAnsiTheme="minorEastAsia" w:cs="Arial" w:cstheme="minorEastAsia" w:hint="eastAsia"/>
          <w:sz w:val="32"/>
          <w:szCs w:val="32"/>
        </w:rPr>
        <w:t xml:space="preserve">支出总体情况表</w:t>
      </w:r>
      <w:bookmarkEnd w:id="19"/>
      <w:bookmarkEnd w:id="20"/>
      <w:bookmarkEnd w:id="21"/>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1846"/>
        <w:gridCol w:w="1937"/>
        <w:gridCol w:w="2393"/>
        <w:gridCol w:w="2283"/>
        <w:gridCol w:w="2302"/>
        <w:gridCol w:w="2225"/>
        <w:gridCol w:w="2375"/>
      </w:tblGrid>
      <w:tr>
        <w:tblPrEx>
          <w:tblW w:w="5000" w:type="pct"/>
          <w:tblInd w:w="0" w:type="dxa"/>
          <w:tblLayout w:type="fixed"/>
          <w:tblCellMar>
            <w:top w:w="0" w:type="dxa"/>
            <w:left w:w="10" w:type="dxa"/>
            <w:bottom w:w="0" w:type="dxa"/>
            <w:right w:w="10" w:type="dxa"/>
          </w:tblCellMar>
        </w:tblPrEx>
        <w:trPr>
          <w:cantSplit/>
          <w:trHeight w:hRule="exact" w:val="465"/>
        </w:trPr>
        <w:tc>
          <w:tcPr>
            <w:tcW w:w="12968" w:type="dxa"/>
            <w:gridSpan w:val="6"/>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河池市食品药品检验所</w:t>
            </w:r>
          </w:p>
        </w:tc>
        <w:tc>
          <w:tcPr>
            <w:tcW w:w="2371" w:type="dxa"/>
            <w:shd w:val="clear" w:color="auto" w:fill="FFFFFF"/>
          </w:tcPr>
          <w:p>
            <w:pPr>
              <w:pStyle w:val="Other|1"/>
              <w:spacing w:line="240" w:lineRule="auto"/>
              <w:ind w:firstLine="1260" w:firstLineChars="7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表03</w:t>
            </w:r>
          </w:p>
          <w:p>
            <w:pPr>
              <w:pStyle w:val="Other|1"/>
              <w:spacing w:line="240" w:lineRule="auto"/>
              <w:ind w:firstLine="1260" w:firstLineChars="7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862"/>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部门（单位）名称</w:t>
            </w: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765.95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612.95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153.00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127003</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765.95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612.95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153.00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2013812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药品事务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117.00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117.00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2013850</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事业运行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452.52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416.52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36.00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事业单位离退休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11.97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11.97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61.25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61.25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机关事业单位职业年金缴费支出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30.62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30.62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其他社会保障和就业支出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1.91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1.91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事业单位医疗</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26.63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26.63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公务员医疗补助</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18.12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18.12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Layout w:type="fixed"/>
          <w:tblCellMar>
            <w:top w:w="0" w:type="dxa"/>
            <w:left w:w="10" w:type="dxa"/>
            <w:bottom w:w="0" w:type="dxa"/>
            <w:right w:w="10" w:type="dxa"/>
          </w:tblCellMar>
        </w:tblPrEx>
        <w:trPr>
          <w:cantSplit/>
          <w:trHeight w:hRule="exact" w:val="451"/>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45.94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45.94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bl>
    <w:p>
      <w:pPr>
        <w:pStyle w:val="Tablecaption|1"/>
        <w:keepNext w:val="0"/>
        <w:keepLines w:val="0"/>
        <w:pageBreakBefore w:val="0"/>
        <w:widowControl w:val="0"/>
        <w:kinsoku/>
        <w:wordWrap/>
        <w:overflowPunct/>
        <w:topLinePunct w:val="0"/>
        <w:autoSpaceDE/>
        <w:autoSpaceDN/>
        <w:bidi w:val="0"/>
        <w:adjustRightInd/>
        <w:snapToGrid/>
        <w:ind w:left="0"/>
        <w:jc w:val="left"/>
        <w:textAlignment w:val="auto"/>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b w:val="0"/>
          <w:bCs w:val="0"/>
          <w:sz w:val="18"/>
          <w:szCs w:val="18"/>
        </w:rPr>
        <w:t xml:space="preserve">注：本报表金额单位转换时可能存在四舍五入尾数误差。</w:t>
      </w:r>
      <w:r>
        <w:br w:type="page"/>
      </w:r>
    </w:p>
    <w:p>
      <w:pPr>
        <w:pStyle w:val="Heading#2|1"/>
        <w:keepNext/>
        <w:keepLines/>
        <w:tabs>
          <w:tab w:val="center" w:pos="7730"/>
          <w:tab w:val="left" w:pos="13278"/>
        </w:tabs>
        <w:spacing w:after="240"/>
        <w:jc w:val="center"/>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rPr>
        <w:t xml:space="preserve">财政拨款收支总体情况</w:t>
      </w:r>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3608"/>
        <w:gridCol w:w="4065"/>
        <w:gridCol w:w="3828"/>
        <w:gridCol w:w="3860"/>
      </w:tblGrid>
      <w:tr>
        <w:tblPrEx>
          <w:tblW w:w="5000" w:type="pct"/>
          <w:tblInd w:w="0" w:type="dxa"/>
          <w:tblLayout w:type="fixed"/>
          <w:tblCellMar>
            <w:top w:w="0" w:type="dxa"/>
            <w:left w:w="10" w:type="dxa"/>
            <w:bottom w:w="0" w:type="dxa"/>
            <w:right w:w="10" w:type="dxa"/>
          </w:tblCellMar>
        </w:tblPrEx>
        <w:trPr>
          <w:cantSplit/>
          <w:trHeight w:hRule="exact" w:val="441"/>
        </w:trPr>
        <w:tc>
          <w:tcPr>
            <w:tcW w:w="11501" w:type="dxa"/>
            <w:gridSpan w:val="3"/>
            <w:tcBorders>
              <w:bottom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p>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河池市食品药品检验所</w:t>
            </w:r>
          </w:p>
        </w:tc>
        <w:tc>
          <w:tcPr>
            <w:tcW w:w="3860" w:type="dxa"/>
            <w:tcBorders>
              <w:bottom w:val="single" w:sz="4" w:space="0" w:color="auto"/>
            </w:tcBorders>
            <w:shd w:val="clear" w:color="auto" w:fill="FFFFFF"/>
          </w:tcPr>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表04</w:t>
            </w:r>
          </w:p>
          <w:p>
            <w:pPr>
              <w:pStyle w:val="Other|1"/>
              <w:spacing w:line="240" w:lineRule="auto"/>
              <w:ind w:firstLine="2095" w:firstLineChars="1164"/>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451"/>
        </w:trPr>
        <w:tc>
          <w:tcPr>
            <w:tcW w:w="7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收</w:t>
            </w:r>
            <w:r>
              <w:rPr>
                <w:rFonts w:ascii="宋体" w:eastAsia="宋体" w:hAnsi="宋体" w:asciiTheme="minorEastAsia" w:eastAsiaTheme="minorEastAsia" w:hAnsiTheme="minorEastAsia" w:cs="Arial" w:cstheme="minorEastAsia" w:hint="eastAsia"/>
                <w:sz w:val="18"/>
                <w:szCs w:val="18"/>
              </w:rPr>
              <w:t xml:space="preserve">入</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3060" w:firstLineChars="1700"/>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支</w:t>
            </w:r>
            <w:r>
              <w:rPr>
                <w:rFonts w:ascii="宋体" w:eastAsia="宋体" w:hAnsi="宋体" w:asciiTheme="minorEastAsia" w:eastAsiaTheme="minorEastAsia" w:hAnsiTheme="minorEastAsia" w:cs="Arial" w:cstheme="minorEastAsia" w:hint="eastAsia"/>
                <w:sz w:val="18"/>
                <w:szCs w:val="18"/>
              </w:rPr>
              <w:t xml:space="preserve">出</w:t>
            </w:r>
          </w:p>
        </w:tc>
      </w:tr>
      <w:tr>
        <w:tblPrEx>
          <w:tblW w:w="5000" w:type="pct"/>
          <w:tblInd w:w="0" w:type="dxa"/>
          <w:tblLayout w:type="fixed"/>
          <w:tblCellMar>
            <w:top w:w="0" w:type="dxa"/>
            <w:left w:w="10" w:type="dxa"/>
            <w:bottom w:w="0" w:type="dxa"/>
            <w:right w:w="10" w:type="dxa"/>
          </w:tblCellMar>
        </w:tblPrEx>
        <w:trPr>
          <w:cantSplit/>
          <w:trHeight w:hRule="exact" w:val="428"/>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项目</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项</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目（按支出功能科目分类）</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预算数</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一、一般公共预算拨款</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765.95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一、一般公共服务支出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569.52</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二、外交支出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765.95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三、国防支出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二、政府性基金预算拨款</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四、公共安全支出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五、教育支出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六、科学技术支出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三、国有资本经营预算拨款</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七、文化旅游体育与传媒支出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1、上级补助</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八、社会保障和就业支出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105.76</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2、本级</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九、卫生健康支出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44.75</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四、财政专户管理资金收入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十、节能环保支出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五、事业收入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十一、城乡社区支出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六、事业单位经营收入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十二、农林水支出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七、上级补助收入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十三、交通运输支出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八、附属单位上缴收入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十四、资源勘探工业信息等支出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九、其他收入</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十五、商业服务业等支出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十六、金融支出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十七、援助其他地区支出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十八、自然资源海洋气象等支出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十九、住房保障支出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45.94</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二十、粮油物资储备支出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二十一、国有资本经营预算支出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二十二、灾害防治及应急管理支出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二十三、其他支出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二十四、债务还本支出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二十五、债务付息支出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二十六、债务发行费用支出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本年收入合计</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765.95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本年支出合计</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765.95</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上年结转结余</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结转下年支出</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0.00</w:t>
            </w:r>
          </w:p>
        </w:tc>
      </w:tr>
      <w:tr>
        <w:tblPrEx>
          <w:tblW w:w="5000" w:type="pct"/>
          <w:tblInd w:w="0" w:type="dxa"/>
          <w:tblLayout w:type="fixed"/>
          <w:tblCellMar>
            <w:top w:w="0" w:type="dxa"/>
            <w:left w:w="10" w:type="dxa"/>
            <w:bottom w:w="0" w:type="dxa"/>
            <w:right w:w="10" w:type="dxa"/>
          </w:tblCellMar>
        </w:tblPrEx>
        <w:trPr>
          <w:cantSplit/>
          <w:trHeight w:hRule="exact" w:val="456"/>
        </w:trPr>
        <w:tc>
          <w:tcPr>
            <w:tcW w:w="36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firstLineChars="100"/>
              <w:jc w:val="both"/>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收入总计</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765.95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支出总计</w:t>
            </w:r>
          </w:p>
        </w:tc>
        <w:tc>
          <w:tcPr>
            <w:tcW w:w="38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765.95</w:t>
            </w:r>
          </w:p>
        </w:tc>
      </w:tr>
    </w:tbl>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注：表中功能分类科目，根据各部门实际预算编制情况编列。</w:t>
      </w:r>
    </w:p>
    <w:p>
      <w:pPr>
        <w:jc w:val="lef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报表金额单位转换时可能存在四舍五入尾数误差。</w:t>
      </w:r>
    </w:p>
    <w:p>
      <w:pPr>
        <w:jc w:val="left"/>
        <w:rPr>
          <w:rFonts w:ascii="宋体" w:eastAsia="宋体" w:hAnsi="宋体" w:asciiTheme="minorEastAsia" w:eastAsiaTheme="minorEastAsia" w:hAnsiTheme="minorEastAsia" w:cs="Arial" w:cstheme="minorEastAsia" w:hint="eastAsia"/>
          <w:sz w:val="18"/>
          <w:szCs w:val="18"/>
          <w:lang w:eastAsia="zh-CN"/>
        </w:rPr>
      </w:pPr>
      <w:r>
        <w:br w:type="page"/>
      </w:r>
    </w:p>
    <w:p>
      <w:pPr>
        <w:jc w:val="center"/>
        <w:rPr>
          <w:rFonts w:ascii="宋体" w:eastAsia="宋体" w:hAnsi="宋体" w:asciiTheme="minorEastAsia" w:eastAsiaTheme="minorEastAsia" w:hAnsiTheme="minorEastAsia" w:cs="Arial" w:cstheme="minorEastAsia" w:hint="eastAsia"/>
          <w:sz w:val="32"/>
          <w:szCs w:val="32"/>
          <w:lang w:eastAsia="zh-CN"/>
        </w:rPr>
      </w:pPr>
      <w:r>
        <w:rPr>
          <w:rFonts w:ascii="宋体" w:eastAsia="宋体" w:hAnsi="宋体" w:asciiTheme="minorEastAsia" w:eastAsiaTheme="minorEastAsia" w:hAnsiTheme="minorEastAsia" w:cs="Arial" w:cstheme="minorEastAsia" w:hint="eastAsia"/>
          <w:sz w:val="32"/>
          <w:szCs w:val="32"/>
          <w:lang w:eastAsia="zh-CN"/>
        </w:rPr>
        <w:t xml:space="preserve">一般公共预算支出情况表</w:t>
      </w:r>
    </w:p>
    <w:p>
      <w:pPr>
        <w:pStyle w:val="Heading#2|1"/>
        <w:keepNext/>
        <w:keepLines/>
        <w:pageBreakBefore w:val="0"/>
        <w:widowControl w:val="0"/>
        <w:tabs>
          <w:tab w:val="center" w:pos="7730"/>
          <w:tab w:val="left" w:pos="13278"/>
        </w:tabs>
        <w:kinsoku/>
        <w:wordWrap/>
        <w:overflowPunct/>
        <w:topLinePunct w:val="0"/>
        <w:autoSpaceDE/>
        <w:autoSpaceDN/>
        <w:bidi w:val="0"/>
        <w:adjustRightInd/>
        <w:snapToGrid/>
        <w:spacing w:after="0" w:line="180" w:lineRule="atLeast"/>
        <w:ind w:firstLine="25600" w:firstLineChars="8000"/>
        <w:jc w:val="right"/>
        <w:textAlignment w:val="auto"/>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eastAsia="zh-CN"/>
        </w:rPr>
        <w:tab/>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836"/>
        <w:gridCol w:w="1529"/>
        <w:gridCol w:w="1489"/>
        <w:gridCol w:w="1704"/>
        <w:gridCol w:w="1896"/>
        <w:gridCol w:w="1876"/>
        <w:gridCol w:w="1744"/>
        <w:gridCol w:w="72"/>
        <w:gridCol w:w="1664"/>
        <w:gridCol w:w="174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26"/>
        </w:trPr>
        <w:tc>
          <w:tcPr>
            <w:tcW w:w="12112" w:type="dxa"/>
            <w:gridSpan w:val="7"/>
            <w:tcBorders>
              <w:top w:val="nil"/>
              <w:left w:val="nil"/>
              <w:right w:val="nil"/>
            </w:tcBorders>
          </w:tcPr>
          <w:p>
            <w:pPr>
              <w:jc w:val="left"/>
              <w:rPr>
                <w:rFonts w:ascii="宋体" w:eastAsia="宋体" w:hAnsi="宋体" w:asciiTheme="minorEastAsia" w:eastAsiaTheme="minorEastAsia" w:hAnsiTheme="minorEastAsia" w:cs="Arial" w:cstheme="minorEastAsia" w:hint="eastAsia"/>
                <w:sz w:val="18"/>
                <w:szCs w:val="18"/>
              </w:rPr>
            </w:pPr>
          </w:p>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河池市食品药品检验所</w:t>
            </w:r>
          </w:p>
        </w:tc>
        <w:tc>
          <w:tcPr>
            <w:tcW w:w="3537" w:type="dxa"/>
            <w:gridSpan w:val="3"/>
            <w:tcBorders>
              <w:top w:val="nil"/>
              <w:left w:val="nil"/>
              <w:right w:val="nil"/>
            </w:tcBorders>
          </w:tcPr>
          <w:p>
            <w:pPr>
              <w:ind w:firstLine="1980" w:firstLineChars="11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lang w:val="en-US" w:eastAsia="zh-CN"/>
              </w:rPr>
              <w:t xml:space="preserve">表05</w:t>
            </w:r>
          </w:p>
          <w:p>
            <w:pPr>
              <w:ind w:firstLine="1980" w:firstLineChars="1100"/>
              <w:jc w:val="righ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1636"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1615" w:type="dxa"/>
            <w:vMerge w:val="restart"/>
          </w:tcPr>
          <w:p>
            <w:pPr>
              <w:pStyle w:val="Other|1"/>
              <w:spacing w:after="120" w:line="240" w:lineRule="auto"/>
              <w:ind w:firstLine="0"/>
              <w:jc w:val="center"/>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部门（单位）名称</w:t>
            </w:r>
          </w:p>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（功能分类科目名称）</w:t>
            </w:r>
          </w:p>
        </w:tc>
        <w:tc>
          <w:tcPr>
            <w:tcW w:w="1713"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合计</w:t>
            </w:r>
          </w:p>
        </w:tc>
        <w:tc>
          <w:tcPr>
            <w:tcW w:w="5515" w:type="dxa"/>
            <w:gridSpan w:val="4"/>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1686"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1779" w:type="dxa"/>
            <w:vMerge w:val="restart"/>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36"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15"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713"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87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184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人员经费</w:t>
            </w:r>
          </w:p>
        </w:tc>
        <w:tc>
          <w:tcPr>
            <w:tcW w:w="1790" w:type="dxa"/>
            <w:gridSpan w:val="2"/>
            <w:vAlign w:val="center"/>
          </w:tcPr>
          <w:p>
            <w:pPr>
              <w:pStyle w:val="Other|1"/>
              <w:spacing w:line="240" w:lineRule="auto"/>
              <w:ind w:firstLine="44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公用经费</w:t>
            </w:r>
          </w:p>
        </w:tc>
        <w:tc>
          <w:tcPr>
            <w:tcW w:w="1686"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779" w:type="dxa"/>
            <w:vMerge/>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36"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615"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eastAsia="zh-CN"/>
              </w:rPr>
            </w:pPr>
          </w:p>
        </w:tc>
        <w:tc>
          <w:tcPr>
            <w:tcW w:w="171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1</w:t>
            </w:r>
          </w:p>
        </w:tc>
        <w:tc>
          <w:tcPr>
            <w:tcW w:w="187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2</w:t>
            </w:r>
          </w:p>
        </w:tc>
        <w:tc>
          <w:tcPr>
            <w:tcW w:w="184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3</w:t>
            </w:r>
          </w:p>
        </w:tc>
        <w:tc>
          <w:tcPr>
            <w:tcW w:w="1790" w:type="dxa"/>
            <w:gridSpan w:val="2"/>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4</w:t>
            </w:r>
          </w:p>
        </w:tc>
        <w:tc>
          <w:tcPr>
            <w:tcW w:w="1686" w:type="dxa"/>
            <w:vAlign w:val="center"/>
          </w:tcPr>
          <w:p>
            <w:pPr>
              <w:pStyle w:val="Other|1"/>
              <w:spacing w:line="240" w:lineRule="auto"/>
              <w:ind w:firstLine="66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5</w:t>
            </w:r>
          </w:p>
        </w:tc>
        <w:tc>
          <w:tcPr>
            <w:tcW w:w="1779" w:type="dxa"/>
            <w:vAlign w:val="center"/>
          </w:tcPr>
          <w:p>
            <w:pPr>
              <w:pStyle w:val="Other|1"/>
              <w:spacing w:line="240" w:lineRule="auto"/>
              <w:ind w:right="700" w:firstLine="0" w:rightChars="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b/>
                <w:bCs/>
                <w:sz w:val="18"/>
                <w:szCs w:val="18"/>
              </w:rPr>
              <w:t xml:space="preserve">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127003</w:t>
            </w: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765.95</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612.95</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588.49</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24.46</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153.00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2013812</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药品事务</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117.00</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117.00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2013850</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事业运行</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452.52</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416.52</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392.06</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24.46</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36.00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2080502</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事业单位离退休</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11.97</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11.97</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11.97</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2080505</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机关事业单位基本养老保险缴费支出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61.25</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61.25</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61.25</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2080506</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机关事业单位职业年金缴费支出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30.62</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30.62</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30.62</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2089999</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其他社会保障和就业支出</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1.91</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1.91</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1.91</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2101102</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事业单位医疗</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26.63</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26.63</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26.63</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2101103</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公务员医疗补助</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18.12</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18.12</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18.12</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0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2210201</w:t>
            </w:r>
          </w:p>
        </w:tc>
        <w:tc>
          <w:tcPr>
            <w:tcW w:w="1636"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161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住房公积金</w:t>
            </w:r>
          </w:p>
        </w:tc>
        <w:tc>
          <w:tcPr>
            <w:tcW w:w="1713" w:type="dxa"/>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45.94</w:t>
            </w:r>
          </w:p>
        </w:tc>
        <w:tc>
          <w:tcPr>
            <w:tcW w:w="1879" w:type="dxa"/>
            <w:vAlign w:val="center"/>
          </w:tcPr>
          <w:p>
            <w:pPr>
              <w:pStyle w:val="Other|1"/>
              <w:spacing w:line="240" w:lineRule="auto"/>
              <w:ind w:left="13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45.94</w:t>
            </w:r>
          </w:p>
        </w:tc>
        <w:tc>
          <w:tcPr>
            <w:tcW w:w="1846" w:type="dxa"/>
            <w:vAlign w:val="center"/>
          </w:tcPr>
          <w:p>
            <w:pPr>
              <w:pStyle w:val="Other|1"/>
              <w:spacing w:line="240" w:lineRule="auto"/>
              <w:ind w:left="112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45.94</w:t>
            </w:r>
          </w:p>
        </w:tc>
        <w:tc>
          <w:tcPr>
            <w:tcW w:w="1790" w:type="dxa"/>
            <w:gridSpan w:val="2"/>
            <w:vAlign w:val="center"/>
          </w:tcPr>
          <w:p>
            <w:pPr>
              <w:pStyle w:val="Other|1"/>
              <w:spacing w:line="240" w:lineRule="auto"/>
              <w:ind w:left="1060" w:firstLine="0" w:leftChars="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686"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1779" w:type="dxa"/>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649" w:type="dxa"/>
            <w:gridSpan w:val="10"/>
            <w:tcBorders>
              <w:left w:val="nil"/>
              <w:bottom w:val="nil"/>
              <w:right w:val="nil"/>
            </w:tcBorders>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rPr>
          <w:rFonts w:ascii="宋体" w:eastAsia="宋体" w:hAnsi="宋体" w:asciiTheme="minorEastAsia" w:eastAsiaTheme="minorEastAsia" w:hAnsiTheme="minorEastAsia" w:cs="Arial" w:cstheme="minorEastAsia" w:hint="eastAsia"/>
          <w:sz w:val="32"/>
          <w:szCs w:val="32"/>
          <w:lang w:eastAsia="zh-CN"/>
        </w:rPr>
      </w:pPr>
      <w:r>
        <w:br w:type="page"/>
      </w:r>
    </w:p>
    <w:p>
      <w:pPr>
        <w:pStyle w:val="Heading#2|1"/>
        <w:keepNext/>
        <w:keepLines/>
        <w:tabs>
          <w:tab w:val="center" w:pos="7730"/>
          <w:tab w:val="left" w:pos="14636"/>
        </w:tabs>
        <w:spacing w:after="240"/>
        <w:jc w:val="center"/>
        <w:rPr>
          <w:rFonts w:ascii="宋体" w:eastAsia="宋体" w:hAnsi="宋体" w:asciiTheme="minorEastAsia" w:eastAsiaTheme="minorEastAsia" w:hAnsiTheme="minorEastAsia" w:cs="Arial" w:cstheme="minorEastAsia" w:hint="eastAsia"/>
          <w:sz w:val="32"/>
          <w:szCs w:val="32"/>
          <w:lang w:eastAsia="zh-CN"/>
        </w:rPr>
      </w:pPr>
      <w:bookmarkStart w:id="22" w:name="bookmark58"/>
      <w:bookmarkStart w:id="23" w:name="bookmark56"/>
      <w:bookmarkStart w:id="24" w:name="bookmark57"/>
      <w:r>
        <w:rPr>
          <w:rFonts w:ascii="宋体" w:eastAsia="宋体" w:hAnsi="宋体" w:asciiTheme="minorEastAsia" w:eastAsiaTheme="minorEastAsia" w:hAnsiTheme="minorEastAsia" w:cs="Arial" w:cstheme="minorEastAsia" w:hint="eastAsia"/>
          <w:sz w:val="32"/>
          <w:szCs w:val="32"/>
        </w:rPr>
        <w:t xml:space="preserve">一般公共预算基本支出情况表</w:t>
      </w:r>
      <w:bookmarkEnd w:id="22"/>
      <w:bookmarkEnd w:id="23"/>
      <w:bookmarkEnd w:id="24"/>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p>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单位名称：</w:t>
            </w:r>
            <w:r>
              <w:rPr>
                <w:sz w:val="18"/>
                <w:u w:color="auto"/>
              </w:rPr>
              <w:t xml:space="preserve">河池市食品药品检验所</w:t>
            </w:r>
          </w:p>
        </w:tc>
        <w:tc>
          <w:tcPr>
            <w:tcW w:w="3113" w:type="dxa"/>
            <w:tcBorders>
              <w:top w:val="nil"/>
              <w:left w:val="nil"/>
              <w:right w:val="nil"/>
            </w:tcBorders>
          </w:tcPr>
          <w:p>
            <w:pPr>
              <w:ind w:firstLine="1980" w:firstLineChars="1100"/>
              <w:jc w:val="right"/>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vertAlign w:val="baseline"/>
                <w:lang w:val="en-US" w:eastAsia="zh-CN"/>
              </w:rPr>
              <w:t xml:space="preserve">表06</w:t>
            </w:r>
          </w:p>
          <w:p>
            <w:pPr>
              <w:ind w:firstLine="1980" w:firstLineChars="1100"/>
              <w:jc w:val="righ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部门预算支出经济分类科目</w:t>
            </w:r>
          </w:p>
        </w:tc>
        <w:tc>
          <w:tcPr>
            <w:tcW w:w="9336" w:type="dxa"/>
            <w:gridSpan w:val="3"/>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本年一般公共预算基本支出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311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科目名称</w:t>
            </w:r>
          </w:p>
        </w:tc>
        <w:tc>
          <w:tcPr>
            <w:tcW w:w="311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合计</w:t>
            </w:r>
          </w:p>
        </w:tc>
        <w:tc>
          <w:tcPr>
            <w:tcW w:w="311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人员经费</w:t>
            </w:r>
          </w:p>
        </w:tc>
        <w:tc>
          <w:tcPr>
            <w:tcW w:w="311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公用经费</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612.95</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588.49</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24.46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573.58</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573.58</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140.63</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140.63</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17.41</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17.41</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11.72</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11.72</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222.30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222.30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61.25</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61.25</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30109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职业年金缴费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30.62</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30.62</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24.50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24.50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公务员医疗补助缴费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15.31</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15.31</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3.91</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3.91</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45.94</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45.94</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24.46</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24.46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30209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物业管理费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维修（护）费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30216</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培训费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公务接待费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30218</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专用材料费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30226</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劳务费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7.66</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7.66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30229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福利费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0.20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0.20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30231</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公务用车运行维护费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30239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其他交通费用</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16.60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16.60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14.91</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14.91</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12.10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12.10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30307</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医疗费补助</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2.80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2.80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310</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资本性支出</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31002</w:t>
            </w:r>
          </w:p>
        </w:tc>
        <w:tc>
          <w:tcPr>
            <w:tcW w:w="3111"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办公设备购置</w:t>
            </w:r>
          </w:p>
        </w:tc>
        <w:tc>
          <w:tcPr>
            <w:tcW w:w="311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8"/>
          <w:tblHeader/>
        </w:trPr>
        <w:tc>
          <w:tcPr>
            <w:tcW w:w="15557" w:type="dxa"/>
            <w:gridSpan w:val="5"/>
            <w:tcBorders>
              <w:left w:val="nil"/>
              <w:bottom w:val="nil"/>
              <w:right w:val="nil"/>
            </w:tcBorders>
          </w:tcPr>
          <w:p>
            <w:pPr>
              <w:jc w:val="lef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jc w:val="left"/>
        <w:rPr>
          <w:rFonts w:ascii="宋体" w:eastAsia="宋体" w:hAnsi="宋体" w:asciiTheme="minorEastAsia" w:eastAsiaTheme="minorEastAsia" w:hAnsiTheme="minorEastAsia" w:cs="Arial" w:cstheme="minorEastAsia" w:hint="eastAsia"/>
          <w:sz w:val="32"/>
          <w:szCs w:val="32"/>
          <w:lang w:eastAsia="zh-CN"/>
        </w:rPr>
      </w:pPr>
    </w:p>
    <w:p>
      <w:pPr>
        <w:rPr>
          <w:rFonts w:ascii="宋体" w:eastAsia="宋体" w:hAnsi="宋体" w:asciiTheme="minorEastAsia" w:eastAsiaTheme="minorEastAsia" w:hAnsiTheme="minorEastAsia" w:cs="Arial" w:cstheme="minorEastAsia" w:hint="eastAsia"/>
          <w:sz w:val="32"/>
          <w:szCs w:val="32"/>
          <w:lang w:eastAsia="zh-CN"/>
        </w:rPr>
      </w:pPr>
      <w:r>
        <w:br w:type="page"/>
      </w:r>
    </w:p>
    <w:p>
      <w:pPr>
        <w:pStyle w:val="Heading#2|1"/>
        <w:keepNext/>
        <w:keepLines/>
        <w:spacing w:after="240"/>
        <w:jc w:val="center"/>
        <w:rPr>
          <w:rFonts w:ascii="宋体" w:eastAsia="宋体" w:hAnsi="宋体" w:asciiTheme="minorEastAsia" w:eastAsiaTheme="minorEastAsia" w:hAnsiTheme="minorEastAsia" w:cs="Arial" w:cstheme="minorEastAsia" w:hint="eastAsia"/>
          <w:sz w:val="32"/>
          <w:szCs w:val="32"/>
          <w:lang w:val="en-US" w:eastAsia="zh-CN"/>
        </w:rPr>
      </w:pPr>
      <w:bookmarkStart w:id="25" w:name="bookmark65"/>
      <w:bookmarkStart w:id="26" w:name="bookmark67"/>
      <w:bookmarkStart w:id="27" w:name="bookmark66"/>
      <w:r>
        <w:rPr>
          <w:rFonts w:ascii="宋体" w:eastAsia="宋体" w:hAnsi="宋体" w:asciiTheme="minorEastAsia" w:eastAsiaTheme="minorEastAsia" w:hAnsiTheme="minorEastAsia" w:cs="Arial" w:cstheme="minorEastAsia" w:hint="eastAsia"/>
          <w:sz w:val="32"/>
          <w:szCs w:val="32"/>
          <w:lang w:val="en-US" w:eastAsia="zh-CN"/>
        </w:rPr>
        <w:t xml:space="preserve">一般公共预算“三公”经费预算表</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lang w:eastAsia="zh-CN"/>
              </w:rPr>
            </w:pPr>
          </w:p>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单位名称：</w:t>
            </w:r>
            <w:r>
              <w:rPr>
                <w:sz w:val="18"/>
                <w:u w:color="auto"/>
              </w:rPr>
              <w:t xml:space="preserve">河池市食品药品检验所</w:t>
            </w:r>
          </w:p>
        </w:tc>
        <w:tc>
          <w:tcPr>
            <w:tcW w:w="1891" w:type="dxa"/>
            <w:gridSpan w:val="2"/>
            <w:tcBorders>
              <w:top w:val="nil"/>
              <w:left w:val="nil"/>
              <w:right w:val="nil"/>
            </w:tcBorders>
          </w:tcPr>
          <w:p>
            <w:pPr>
              <w:pStyle w:val="Tablecaption|1"/>
              <w:bidi w:val="0"/>
              <w:ind w:firstLine="540" w:firstLineChars="300"/>
              <w:jc w:val="right"/>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表07</w:t>
            </w:r>
          </w:p>
          <w:p>
            <w:pPr>
              <w:pStyle w:val="Tablecaption|1"/>
              <w:bidi w:val="0"/>
              <w:ind w:firstLine="540" w:firstLineChars="300"/>
              <w:jc w:val="right"/>
              <w:rPr>
                <w:rFonts w:ascii="宋体" w:eastAsia="宋体" w:hAnsi="宋体" w:asciiTheme="minorEastAsia" w:eastAsiaTheme="minorEastAsia" w:hAnsiTheme="minorEastAsia" w:cs="Arial" w:cstheme="minorEastAsia" w:hint="eastAsia"/>
                <w:sz w:val="18"/>
                <w:szCs w:val="18"/>
                <w:vertAlign w:val="baseline"/>
                <w:lang w:eastAsia="zh-CN"/>
              </w:rPr>
            </w:pPr>
            <w:r>
              <w:rPr>
                <w:rFonts w:ascii="宋体" w:eastAsia="宋体" w:hAnsi="宋体" w:asciiTheme="minorEastAsia" w:eastAsiaTheme="minorEastAsia" w:hAnsiTheme="minorEastAsia" w:cs="Arial" w:cstheme="minorEastAsia" w:hint="eastAsia"/>
                <w:sz w:val="18"/>
                <w:szCs w:val="18"/>
                <w:vertAlign w:val="baseline"/>
                <w:lang w:eastAsia="zh-CN"/>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部</w:t>
            </w:r>
            <w:r>
              <w:rPr>
                <w:rFonts w:ascii="宋体" w:eastAsia="宋体" w:hAnsi="宋体" w:asciiTheme="minorEastAsia" w:eastAsiaTheme="minorEastAsia" w:hAnsiTheme="minorEastAsia" w:cs="Arial" w:cstheme="minorEastAsia" w:hint="eastAsia"/>
                <w:sz w:val="18"/>
                <w:szCs w:val="18"/>
              </w:rPr>
              <w:t xml:space="preserve">门（单位）代码</w:t>
            </w:r>
          </w:p>
        </w:tc>
        <w:tc>
          <w:tcPr>
            <w:tcW w:w="1918"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部门（单位）名称</w:t>
            </w:r>
          </w:p>
        </w:tc>
        <w:tc>
          <w:tcPr>
            <w:tcW w:w="11343" w:type="dxa"/>
            <w:gridSpan w:val="7"/>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lang w:val="zh-CN" w:eastAsia="zh-CN" w:bidi="zh-CN"/>
              </w:rPr>
              <w:t xml:space="preserve">“三</w:t>
            </w:r>
            <w:r>
              <w:rPr>
                <w:rFonts w:ascii="宋体" w:eastAsia="宋体" w:hAnsi="宋体" w:asciiTheme="minorEastAsia" w:eastAsiaTheme="minorEastAsia" w:hAnsiTheme="minorEastAsia" w:cs="Arial" w:cstheme="minorEastAsia" w:hint="eastAsia"/>
                <w:sz w:val="18"/>
                <w:szCs w:val="18"/>
              </w:rPr>
              <w:t xml:space="preserve">公”经费</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918"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4"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合计</w:t>
            </w:r>
          </w:p>
        </w:tc>
        <w:tc>
          <w:tcPr>
            <w:tcW w:w="1895"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因公出国（境）费</w:t>
            </w:r>
          </w:p>
        </w:tc>
        <w:tc>
          <w:tcPr>
            <w:tcW w:w="5675" w:type="dxa"/>
            <w:gridSpan w:val="4"/>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公务用车购置及运行维护费</w:t>
            </w:r>
          </w:p>
        </w:tc>
        <w:tc>
          <w:tcPr>
            <w:tcW w:w="1889"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公务接待费</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918"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4"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95"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8"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小计</w:t>
            </w:r>
          </w:p>
        </w:tc>
        <w:tc>
          <w:tcPr>
            <w:tcW w:w="1890" w:type="dxa"/>
            <w:vAlign w:val="center"/>
          </w:tcPr>
          <w:p>
            <w:pPr>
              <w:pStyle w:val="Other|1"/>
              <w:spacing w:line="240" w:lineRule="auto"/>
              <w:ind w:firstLine="22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公务用车运行维护费</w:t>
            </w:r>
          </w:p>
        </w:tc>
        <w:tc>
          <w:tcPr>
            <w:tcW w:w="1897" w:type="dxa"/>
            <w:gridSpan w:val="2"/>
            <w:vAlign w:val="center"/>
          </w:tcPr>
          <w:p>
            <w:pPr>
              <w:pStyle w:val="Other|1"/>
              <w:spacing w:line="240" w:lineRule="auto"/>
              <w:ind w:firstLine="40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公务用车购置费</w:t>
            </w:r>
          </w:p>
        </w:tc>
        <w:tc>
          <w:tcPr>
            <w:tcW w:w="1889" w:type="dxa"/>
            <w:vMerge/>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918" w:type="dxa"/>
            <w:vAlign w:val="center"/>
          </w:tcPr>
          <w:p>
            <w:pPr>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p>
        </w:tc>
        <w:tc>
          <w:tcPr>
            <w:tcW w:w="1884"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1</w:t>
            </w:r>
          </w:p>
        </w:tc>
        <w:tc>
          <w:tcPr>
            <w:tcW w:w="1895"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2</w:t>
            </w:r>
          </w:p>
        </w:tc>
        <w:tc>
          <w:tcPr>
            <w:tcW w:w="1888"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3</w:t>
            </w:r>
          </w:p>
        </w:tc>
        <w:tc>
          <w:tcPr>
            <w:tcW w:w="189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4</w:t>
            </w:r>
          </w:p>
        </w:tc>
        <w:tc>
          <w:tcPr>
            <w:tcW w:w="1897" w:type="dxa"/>
            <w:gridSpan w:val="2"/>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5</w:t>
            </w:r>
          </w:p>
        </w:tc>
        <w:tc>
          <w:tcPr>
            <w:tcW w:w="188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b/>
                <w:bCs/>
                <w:sz w:val="18"/>
                <w:szCs w:val="18"/>
              </w:rPr>
              <w:t xml:space="preserve">6</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127003</w:t>
            </w:r>
          </w:p>
        </w:tc>
        <w:tc>
          <w:tcPr>
            <w:tcW w:w="1918"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4.95</w:t>
            </w:r>
          </w:p>
        </w:tc>
        <w:tc>
          <w:tcPr>
            <w:tcW w:w="1895"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4.50</w:t>
            </w:r>
          </w:p>
        </w:tc>
        <w:tc>
          <w:tcPr>
            <w:tcW w:w="1890"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4.50</w:t>
            </w:r>
          </w:p>
        </w:tc>
        <w:tc>
          <w:tcPr>
            <w:tcW w:w="1897" w:type="dxa"/>
            <w:gridSpan w:val="2"/>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0.45</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lang w:val="en-US" w:eastAsia="zh-CN"/>
              </w:rPr>
            </w:pPr>
            <w:r>
              <w:rPr>
                <w:rFonts w:ascii="宋体" w:eastAsia="宋体" w:hAnsi="宋体" w:asciiTheme="minorEastAsia" w:eastAsiaTheme="minorEastAsia" w:hAnsiTheme="minorEastAsia" w:cs="Arial" w:cstheme="minorEastAsia" w:hint="eastAsia"/>
                <w:sz w:val="18"/>
                <w:szCs w:val="18"/>
              </w:rPr>
              <w:t xml:space="preserve">注：本报表金额单位转换时可能存在四舍五入尾数误差</w:t>
            </w:r>
          </w:p>
        </w:tc>
      </w:tr>
    </w:tbl>
    <w:p>
      <w:pPr>
        <w:rPr>
          <w:rFonts w:ascii="宋体" w:eastAsia="宋体" w:hAnsi="宋体" w:asciiTheme="minorEastAsia" w:eastAsiaTheme="minorEastAsia" w:hAnsiTheme="minorEastAsia" w:cs="Arial" w:cstheme="minorEastAsia" w:hint="eastAsia"/>
          <w:sz w:val="32"/>
          <w:szCs w:val="32"/>
          <w:lang w:val="en-US" w:eastAsia="zh-CN"/>
        </w:rPr>
      </w:pPr>
      <w:r>
        <w:br w:type="page"/>
      </w:r>
    </w:p>
    <w:p>
      <w:pPr>
        <w:pStyle w:val="Tablecaption|1"/>
        <w:bidi w:val="0"/>
        <w:rPr>
          <w:rFonts w:ascii="宋体" w:eastAsia="宋体" w:hAnsi="宋体" w:asciiTheme="minorEastAsia" w:eastAsiaTheme="minorEastAsia" w:hAnsiTheme="minorEastAsia" w:cs="Arial" w:cstheme="minorEastAsia" w:hint="eastAsia"/>
          <w:sz w:val="32"/>
          <w:szCs w:val="32"/>
        </w:rPr>
      </w:pPr>
    </w:p>
    <w:p>
      <w:pPr>
        <w:pStyle w:val="Heading#2|1"/>
        <w:keepNext/>
        <w:keepLines/>
        <w:spacing w:after="240"/>
        <w:jc w:val="center"/>
        <w:rPr>
          <w:rFonts w:ascii="宋体" w:eastAsia="宋体" w:hAnsi="宋体" w:asciiTheme="minorEastAsia" w:eastAsiaTheme="minorEastAsia" w:hAnsiTheme="minorEastAsia" w:cs="Arial" w:cstheme="minorEastAsia" w:hint="eastAsia"/>
          <w:sz w:val="32"/>
          <w:szCs w:val="32"/>
          <w:lang w:val="en-US"/>
        </w:rPr>
      </w:pPr>
      <w:r>
        <w:rPr>
          <w:rFonts w:ascii="宋体" w:eastAsia="宋体" w:hAnsi="宋体" w:asciiTheme="minorEastAsia" w:eastAsiaTheme="minorEastAsia" w:hAnsiTheme="minorEastAsia" w:cs="Arial" w:cstheme="minorEastAsia" w:hint="eastAsia"/>
          <w:sz w:val="32"/>
          <w:szCs w:val="32"/>
        </w:rPr>
        <w:t xml:space="preserve">政府性基金预算支出情况表</w:t>
      </w:r>
      <w:bookmarkEnd w:id="25"/>
      <w:bookmarkEnd w:id="26"/>
      <w:bookmarkEnd w:id="27"/>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4"/>
        <w:gridCol w:w="2160"/>
        <w:gridCol w:w="2161"/>
        <w:gridCol w:w="2221"/>
        <w:gridCol w:w="2160"/>
        <w:gridCol w:w="2169"/>
        <w:gridCol w:w="216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13328" w:type="dxa"/>
            <w:gridSpan w:val="6"/>
            <w:tcBorders>
              <w:top w:val="nil"/>
              <w:left w:val="nil"/>
              <w:right w:val="nil"/>
            </w:tcBorders>
            <w:vAlign w:val="bottom"/>
          </w:tcPr>
          <w:p>
            <w:pPr>
              <w:pStyle w:val="Tablecaption|1"/>
              <w:tabs>
                <w:tab w:val="left" w:pos="14213"/>
              </w:tabs>
              <w:jc w:val="both"/>
              <w:rPr>
                <w:rFonts w:ascii="宋体" w:eastAsia="宋体" w:hAnsi="宋体" w:asciiTheme="minorEastAsia" w:eastAsiaTheme="minorEastAsia" w:hAnsiTheme="minorEastAsia" w:cs="Arial" w:cstheme="minorEastAsia" w:hint="eastAsia"/>
                <w:sz w:val="18"/>
                <w:szCs w:val="18"/>
              </w:rPr>
            </w:pPr>
          </w:p>
          <w:p>
            <w:pPr>
              <w:pStyle w:val="Tablecaption|1"/>
              <w:tabs>
                <w:tab w:val="left" w:pos="14213"/>
              </w:tabs>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河池市食品药品检验所</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单位：万元</w:t>
            </w:r>
          </w:p>
        </w:tc>
        <w:tc>
          <w:tcPr>
            <w:tcW w:w="2151" w:type="dxa"/>
            <w:tcBorders>
              <w:top w:val="nil"/>
              <w:left w:val="nil"/>
              <w:right w:val="nil"/>
            </w:tcBorders>
            <w:vAlign w:val="bottom"/>
          </w:tcPr>
          <w:p>
            <w:pPr>
              <w:pStyle w:val="Tablecaption|1"/>
              <w:tabs>
                <w:tab w:val="left" w:pos="14213"/>
              </w:tabs>
              <w:ind w:left="101" w:firstLine="720" w:firstLineChars="400"/>
              <w:jc w:val="righ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表08</w:t>
            </w:r>
          </w:p>
          <w:p>
            <w:pPr>
              <w:pStyle w:val="Tablecaption|1"/>
              <w:tabs>
                <w:tab w:val="left" w:pos="14213"/>
              </w:tabs>
              <w:ind w:left="101" w:firstLine="720" w:firstLineChars="40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2512" w:type="dxa"/>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2149" w:type="dxa"/>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2150" w:type="dxa"/>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部门（单位）名称（功能分类科目名称）</w:t>
            </w:r>
          </w:p>
        </w:tc>
        <w:tc>
          <w:tcPr>
            <w:tcW w:w="2210"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合计</w:t>
            </w:r>
          </w:p>
        </w:tc>
        <w:tc>
          <w:tcPr>
            <w:tcW w:w="2149"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2158"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215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2512"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rPr>
            </w:pPr>
          </w:p>
        </w:tc>
        <w:tc>
          <w:tcPr>
            <w:tcW w:w="2149"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rPr>
            </w:pPr>
          </w:p>
        </w:tc>
        <w:tc>
          <w:tcPr>
            <w:tcW w:w="2150"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b w:val="0"/>
                <w:bCs w:val="0"/>
                <w:sz w:val="18"/>
                <w:szCs w:val="18"/>
                <w:vertAlign w:val="baseline"/>
              </w:rPr>
            </w:pPr>
          </w:p>
        </w:tc>
        <w:tc>
          <w:tcPr>
            <w:tcW w:w="2210" w:type="dxa"/>
            <w:vAlign w:val="center"/>
          </w:tcPr>
          <w:p>
            <w:pPr>
              <w:pStyle w:val="Other|1"/>
              <w:spacing w:line="240" w:lineRule="auto"/>
              <w:ind w:left="1060" w:firstLine="0" w:leftChars="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2149"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0.00</w:t>
            </w:r>
          </w:p>
        </w:tc>
        <w:tc>
          <w:tcPr>
            <w:tcW w:w="2158"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c>
          <w:tcPr>
            <w:tcW w:w="215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b w:val="0"/>
                <w:bCs w:val="0"/>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lang w:val="en-US" w:eastAsia="zh-CN" w:bidi="en-US"/>
              </w:rPr>
              <w:t xml:space="preserve">0.00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0"/>
        </w:trPr>
        <w:tc>
          <w:tcPr>
            <w:tcW w:w="15479" w:type="dxa"/>
            <w:gridSpan w:val="7"/>
            <w:tcBorders>
              <w:left w:val="nil"/>
              <w:bottom w:val="nil"/>
              <w:right w:val="nil"/>
            </w:tcBorders>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val="0"/>
                <w:bCs w:val="0"/>
                <w:sz w:val="18"/>
                <w:szCs w:val="18"/>
              </w:rPr>
              <w:t xml:space="preserve">注：本报表金额单位转换时可能存在四舍五入尾数误差</w:t>
            </w:r>
          </w:p>
        </w:tc>
      </w:tr>
    </w:tbl>
    <w:p>
      <w:pPr>
        <w:pStyle w:val="Tablecaption|1"/>
        <w:bidi w:val="0"/>
        <w:rPr>
          <w:rFonts w:ascii="宋体" w:eastAsia="宋体" w:hAnsi="宋体" w:asciiTheme="minorEastAsia" w:eastAsiaTheme="minorEastAsia" w:hAnsiTheme="minorEastAsia" w:cs="Arial" w:cstheme="minorEastAsia" w:hint="eastAsia"/>
          <w:sz w:val="32"/>
          <w:szCs w:val="32"/>
        </w:rPr>
      </w:pPr>
    </w:p>
    <w:p>
      <w:pPr>
        <w:rPr>
          <w:rFonts w:ascii="宋体" w:eastAsia="宋体" w:hAnsi="宋体" w:asciiTheme="minorEastAsia" w:eastAsiaTheme="minorEastAsia" w:hAnsiTheme="minorEastAsia" w:cs="Arial" w:cstheme="minorEastAsia" w:hint="eastAsia"/>
          <w:sz w:val="32"/>
          <w:szCs w:val="32"/>
        </w:rPr>
      </w:pPr>
      <w:r>
        <w:br w:type="page"/>
      </w:r>
    </w:p>
    <w:p>
      <w:pPr>
        <w:pStyle w:val="Tablecaption|1"/>
        <w:bidi w:val="0"/>
        <w:rPr>
          <w:rFonts w:ascii="宋体" w:eastAsia="宋体" w:hAnsi="宋体" w:asciiTheme="minorEastAsia" w:eastAsiaTheme="minorEastAsia" w:hAnsiTheme="minorEastAsia" w:cs="Arial" w:cstheme="minorEastAsia" w:hint="eastAsia"/>
          <w:sz w:val="32"/>
          <w:szCs w:val="32"/>
        </w:rPr>
      </w:pPr>
    </w:p>
    <w:p>
      <w:pPr>
        <w:pStyle w:val="Tablecaption|1"/>
        <w:bidi w:val="0"/>
        <w:jc w:val="center"/>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国有资本经营预算支出情况表</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15"/>
        <w:gridCol w:w="2152"/>
        <w:gridCol w:w="2153"/>
        <w:gridCol w:w="2279"/>
        <w:gridCol w:w="2152"/>
        <w:gridCol w:w="2152"/>
        <w:gridCol w:w="215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68"/>
        </w:trPr>
        <w:tc>
          <w:tcPr>
            <w:tcW w:w="13394" w:type="dxa"/>
            <w:gridSpan w:val="6"/>
            <w:tcBorders>
              <w:top w:val="nil"/>
              <w:left w:val="nil"/>
              <w:right w:val="nil"/>
            </w:tcBorders>
            <w:vAlign w:val="bottom"/>
          </w:tcPr>
          <w:p>
            <w:pPr>
              <w:pStyle w:val="Tablecaption|1"/>
              <w:tabs>
                <w:tab w:val="left" w:pos="14213"/>
              </w:tabs>
              <w:ind w:left="101"/>
              <w:jc w:val="both"/>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河池市食品药品检验所</w:t>
            </w:r>
            <w:r>
              <w:rPr>
                <w:rFonts w:ascii="宋体" w:eastAsia="宋体" w:hAnsi="宋体" w:asciiTheme="minorEastAsia" w:eastAsiaTheme="minorEastAsia" w:hAnsiTheme="minorEastAsia" w:cs="Arial" w:cstheme="minorEastAsia" w:hint="eastAsia"/>
                <w:sz w:val="18"/>
                <w:szCs w:val="18"/>
              </w:rPr>
              <w:tab/>
            </w:r>
            <w:r>
              <w:rPr>
                <w:rFonts w:ascii="宋体" w:eastAsia="宋体" w:hAnsi="宋体" w:asciiTheme="minorEastAsia" w:eastAsiaTheme="minorEastAsia" w:hAnsiTheme="minorEastAsia" w:cs="Arial" w:cstheme="minorEastAsia" w:hint="eastAsia"/>
                <w:sz w:val="18"/>
                <w:szCs w:val="18"/>
              </w:rPr>
              <w:t xml:space="preserve">单位：万元</w:t>
            </w:r>
          </w:p>
        </w:tc>
        <w:tc>
          <w:tcPr>
            <w:tcW w:w="2163" w:type="dxa"/>
            <w:tcBorders>
              <w:top w:val="nil"/>
              <w:left w:val="nil"/>
              <w:right w:val="nil"/>
            </w:tcBorders>
            <w:vAlign w:val="bottom"/>
          </w:tcPr>
          <w:p>
            <w:pPr>
              <w:pStyle w:val="Tablecaption|1"/>
              <w:bidi w:val="0"/>
              <w:jc w:val="right"/>
              <w:rPr>
                <w:rFonts w:ascii="宋体" w:eastAsia="宋体" w:hAnsi="宋体" w:asciiTheme="minorEastAsia" w:eastAsiaTheme="minorEastAsia" w:hAnsiTheme="minorEastAsia" w:cs="Arial" w:cstheme="minorEastAsia" w:hint="eastAsia"/>
                <w:sz w:val="18"/>
                <w:szCs w:val="18"/>
                <w:lang w:val="en-US"/>
              </w:rPr>
            </w:pPr>
            <w:r>
              <w:rPr>
                <w:rFonts w:ascii="宋体" w:eastAsia="宋体" w:hAnsi="宋体" w:asciiTheme="minorEastAsia" w:eastAsiaTheme="minorEastAsia" w:hAnsiTheme="minorEastAsia" w:cs="Arial" w:cstheme="minorEastAsia" w:hint="eastAsia"/>
                <w:sz w:val="18"/>
                <w:szCs w:val="18"/>
                <w:lang w:val="en-US" w:eastAsia="zh-CN"/>
              </w:rPr>
              <w:t xml:space="preserve">表09</w:t>
            </w:r>
          </w:p>
          <w:p>
            <w:pPr>
              <w:pStyle w:val="Tablecaption|1"/>
              <w:tabs>
                <w:tab w:val="left" w:pos="14213"/>
              </w:tabs>
              <w:ind w:left="101"/>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科目编码</w:t>
            </w:r>
          </w:p>
        </w:tc>
        <w:tc>
          <w:tcPr>
            <w:tcW w:w="2161"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部门（单位）代码</w:t>
            </w:r>
          </w:p>
        </w:tc>
        <w:tc>
          <w:tcPr>
            <w:tcW w:w="2162" w:type="dxa"/>
            <w:vMerge w:val="restart"/>
          </w:tcPr>
          <w:p>
            <w:pPr>
              <w:pStyle w:val="Tablecaption|1"/>
              <w:bidi w:val="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部门（单位）名称（功能分类科目名称）</w:t>
            </w:r>
          </w:p>
        </w:tc>
        <w:tc>
          <w:tcPr>
            <w:tcW w:w="222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合计</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基本支出</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项目支出</w:t>
            </w:r>
          </w:p>
        </w:tc>
        <w:tc>
          <w:tcPr>
            <w:tcW w:w="216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结转下年支出</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c>
          <w:tcPr>
            <w:tcW w:w="2161" w:type="dxa"/>
            <w:vMerge/>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c>
          <w:tcPr>
            <w:tcW w:w="2162" w:type="dxa"/>
            <w:vMerge/>
          </w:tcPr>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c>
          <w:tcPr>
            <w:tcW w:w="2222"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1</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2</w:t>
            </w:r>
          </w:p>
        </w:tc>
        <w:tc>
          <w:tcPr>
            <w:tcW w:w="2161"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3</w:t>
            </w:r>
          </w:p>
        </w:tc>
        <w:tc>
          <w:tcPr>
            <w:tcW w:w="2163" w:type="dxa"/>
            <w:vAlign w:val="center"/>
          </w:tcPr>
          <w:p>
            <w:pPr>
              <w:pStyle w:val="Other|1"/>
              <w:spacing w:line="240" w:lineRule="auto"/>
              <w:ind w:firstLine="0" w:firstLineChars="0"/>
              <w:jc w:val="center"/>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rPr>
              <w:t xml:space="preserve">4</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rFonts w:ascii="宋体" w:eastAsia="宋体" w:hAnsi="宋体" w:asciiTheme="minorEastAsia" w:eastAsiaTheme="minorEastAsia" w:hAnsiTheme="minorEastAsia" w:cs="Arial" w:cstheme="minorEastAsia" w:hint="eastAsia"/>
                <w:sz w:val="18"/>
                <w:szCs w:val="18"/>
                <w:vertAlign w:val="baseline"/>
              </w:rPr>
            </w:pPr>
          </w:p>
        </w:tc>
        <w:tc>
          <w:tcPr>
            <w:tcW w:w="2161" w:type="dxa"/>
          </w:tcPr>
          <w:p>
            <w:pPr>
              <w:jc w:val="left"/>
              <w:rPr>
                <w:rFonts w:ascii="宋体" w:eastAsia="宋体" w:hAnsi="宋体" w:asciiTheme="minorEastAsia" w:eastAsiaTheme="minorEastAsia" w:hAnsiTheme="minorEastAsia" w:cs="Arial" w:cstheme="minorEastAsia" w:hint="eastAsia"/>
                <w:sz w:val="18"/>
                <w:szCs w:val="18"/>
                <w:vertAlign w:val="baseline"/>
              </w:rPr>
            </w:pPr>
          </w:p>
        </w:tc>
        <w:tc>
          <w:tcPr>
            <w:tcW w:w="2162" w:type="dxa"/>
            <w:vAlign w:val="center"/>
          </w:tcPr>
          <w:p>
            <w:pPr>
              <w:pStyle w:val="Other|1"/>
              <w:spacing w:line="240" w:lineRule="auto"/>
              <w:ind w:firstLine="0" w:firstLineChars="0"/>
              <w:jc w:val="lef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sz w:val="18"/>
                <w:szCs w:val="18"/>
              </w:rPr>
              <w:t xml:space="preserve">合计</w:t>
            </w:r>
          </w:p>
        </w:tc>
        <w:tc>
          <w:tcPr>
            <w:tcW w:w="2222" w:type="dxa"/>
            <w:vAlign w:val="center"/>
          </w:tcPr>
          <w:p>
            <w:pPr>
              <w:pStyle w:val="Other|1"/>
              <w:spacing w:line="240" w:lineRule="auto"/>
              <w:ind w:left="1700" w:firstLine="0" w:leftChars="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c>
          <w:tcPr>
            <w:tcW w:w="216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c>
          <w:tcPr>
            <w:tcW w:w="2161"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c>
          <w:tcPr>
            <w:tcW w:w="2163" w:type="dxa"/>
            <w:vAlign w:val="center"/>
          </w:tcPr>
          <w:p>
            <w:pPr>
              <w:pStyle w:val="Other|1"/>
              <w:spacing w:line="240" w:lineRule="auto"/>
              <w:ind w:firstLine="0" w:firstLineChars="0"/>
              <w:jc w:val="right"/>
              <w:rPr>
                <w:rFonts w:ascii="宋体" w:eastAsia="宋体" w:hAnsi="宋体" w:asciiTheme="minorEastAsia" w:eastAsiaTheme="minorEastAsia" w:hAnsiTheme="minorEastAsia" w:cs="Arial" w:cstheme="minorEastAsia" w:hint="eastAsia"/>
                <w:sz w:val="18"/>
                <w:szCs w:val="18"/>
                <w:vertAlign w:val="baseline"/>
              </w:rPr>
            </w:pPr>
            <w:r>
              <w:rPr>
                <w:rFonts w:ascii="宋体" w:eastAsia="宋体" w:hAnsi="宋体" w:asciiTheme="minorEastAsia" w:eastAsiaTheme="minorEastAsia" w:hAnsiTheme="minorEastAsia" w:cs="Arial" w:cstheme="minorEastAsia" w:hint="eastAsia"/>
                <w:b/>
                <w:bCs/>
                <w:sz w:val="18"/>
                <w:szCs w:val="18"/>
                <w:lang w:val="en-US" w:eastAsia="en-US" w:bidi="en-US"/>
              </w:rPr>
              <w:t xml:space="preserve">0.</w:t>
            </w:r>
            <w:r>
              <w:rPr>
                <w:rFonts w:ascii="宋体" w:eastAsia="宋体" w:hAnsi="宋体" w:asciiTheme="minorEastAsia" w:eastAsiaTheme="minorEastAsia" w:hAnsiTheme="minorEastAsia" w:cs="Arial" w:cstheme="minorEastAsia" w:hint="eastAsia"/>
                <w:b/>
                <w:bCs/>
                <w:sz w:val="18"/>
                <w:szCs w:val="18"/>
              </w:rPr>
              <w:t xml:space="preserve">00</w:t>
            </w:r>
          </w:p>
        </w:tc>
      </w:tr>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jc w:val="left"/>
              <w:rPr>
                <w:rFonts w:ascii="宋体" w:eastAsia="宋体" w:hAnsi="宋体" w:asciiTheme="minorEastAsia" w:eastAsiaTheme="minorEastAsia" w:hAnsiTheme="minorEastAsia" w:cs="Arial" w:cstheme="minorEastAsia" w:hint="eastAsia"/>
                <w:b w:val="0"/>
                <w:bCs w:val="0"/>
                <w:sz w:val="18"/>
                <w:szCs w:val="18"/>
              </w:rPr>
            </w:pPr>
            <w:r>
              <w:rPr>
                <w:rFonts w:ascii="宋体" w:eastAsia="宋体" w:hAnsi="宋体" w:asciiTheme="minorEastAsia" w:eastAsiaTheme="minorEastAsia" w:hAnsiTheme="minorEastAsia" w:cs="Arial" w:cstheme="minorEastAsia" w:hint="eastAsia"/>
                <w:b w:val="0"/>
                <w:bCs w:val="0"/>
                <w:sz w:val="18"/>
                <w:szCs w:val="18"/>
              </w:rPr>
              <w:t xml:space="preserve">注：本报表金额单位转换时可能存在四舍五入尾数误差。本部门</w:t>
            </w:r>
            <w:r>
              <w:rPr>
                <w:rFonts w:ascii="宋体" w:eastAsia="宋体" w:hAnsi="宋体" w:asciiTheme="minorEastAsia" w:eastAsiaTheme="minorEastAsia" w:hAnsiTheme="minorEastAsia" w:cs="Arial" w:cstheme="minorEastAsia" w:hint="eastAsia"/>
                <w:b w:val="0"/>
                <w:bCs w:val="0"/>
                <w:sz w:val="18"/>
                <w:szCs w:val="18"/>
                <w:lang w:eastAsia="zh-CN"/>
              </w:rPr>
              <w:t xml:space="preserve">2024</w:t>
            </w:r>
            <w:r>
              <w:rPr>
                <w:sz w:val="18"/>
                <w:u w:color="auto"/>
              </w:rPr>
              <w:t xml:space="preserve">年</w:t>
            </w:r>
            <w:r>
              <w:rPr>
                <w:rFonts w:ascii="宋体" w:eastAsia="宋体" w:hAnsi="宋体" w:asciiTheme="minorEastAsia" w:eastAsiaTheme="minorEastAsia" w:hAnsiTheme="minorEastAsia" w:cs="Arial" w:cstheme="minorEastAsia" w:hint="eastAsia"/>
                <w:b w:val="0"/>
                <w:bCs w:val="0"/>
                <w:sz w:val="18"/>
                <w:szCs w:val="18"/>
              </w:rPr>
              <w:t xml:space="preserve">度没有国有资本经营预算支出，故本表无数据</w:t>
            </w:r>
          </w:p>
          <w:p>
            <w:pPr>
              <w:pStyle w:val="Tablecaption|1"/>
              <w:bidi w:val="0"/>
              <w:jc w:val="both"/>
              <w:rPr>
                <w:rFonts w:ascii="宋体" w:eastAsia="宋体" w:hAnsi="宋体" w:asciiTheme="minorEastAsia" w:eastAsiaTheme="minorEastAsia" w:hAnsiTheme="minorEastAsia" w:cs="Arial" w:cstheme="minorEastAsia" w:hint="eastAsia"/>
                <w:sz w:val="18"/>
                <w:szCs w:val="18"/>
                <w:vertAlign w:val="baseline"/>
              </w:rPr>
            </w:pPr>
          </w:p>
        </w:tc>
      </w:tr>
    </w:tbl>
    <w:p>
      <w:pPr>
        <w:pStyle w:val="Tablecaption|1"/>
        <w:bidi w:val="0"/>
        <w:rPr>
          <w:rFonts w:ascii="宋体" w:eastAsia="宋体" w:hAnsi="宋体" w:asciiTheme="minorEastAsia" w:eastAsiaTheme="minorEastAsia" w:hAnsiTheme="minorEastAsia" w:cs="Arial" w:cstheme="minorEastAsia" w:hint="eastAsia"/>
          <w:sz w:val="32"/>
          <w:szCs w:val="32"/>
        </w:rPr>
      </w:pPr>
    </w:p>
    <w:p>
      <w:pPr>
        <w:rPr>
          <w:rFonts w:ascii="宋体" w:eastAsia="宋体" w:hAnsi="宋体" w:asciiTheme="minorEastAsia" w:eastAsiaTheme="minorEastAsia" w:hAnsiTheme="minorEastAsia" w:cs="Arial" w:cstheme="minorEastAsia" w:hint="eastAsia"/>
          <w:sz w:val="32"/>
          <w:szCs w:val="32"/>
        </w:rPr>
      </w:pPr>
      <w:r>
        <w:br w:type="page"/>
      </w:r>
    </w:p>
    <w:p>
      <w:pPr>
        <w:pStyle w:val="Heading#2|1"/>
        <w:keepNext/>
        <w:keepLines/>
        <w:spacing w:after="240"/>
        <w:jc w:val="center"/>
        <w:rPr>
          <w:rFonts w:ascii="宋体" w:eastAsia="宋体" w:hAnsi="宋体" w:asciiTheme="minorEastAsia" w:eastAsiaTheme="minorEastAsia" w:hAnsiTheme="minorEastAsia" w:cs="Arial" w:cstheme="minorEastAsia" w:hint="eastAsia"/>
          <w:sz w:val="32"/>
          <w:szCs w:val="32"/>
          <w:lang w:val="en-US" w:eastAsia="zh-CN"/>
        </w:rPr>
      </w:pPr>
      <w:r>
        <w:rPr>
          <w:rFonts w:ascii="宋体" w:eastAsia="宋体" w:hAnsi="宋体" w:asciiTheme="minorEastAsia" w:eastAsiaTheme="minorEastAsia" w:hAnsiTheme="minorEastAsia" w:cs="Arial" w:cstheme="minorEastAsia" w:hint="eastAsia"/>
          <w:sz w:val="32"/>
          <w:szCs w:val="32"/>
          <w:lang w:val="en-US" w:eastAsia="zh-CN"/>
        </w:rPr>
        <w:t xml:space="preserve">2024年度预算项目绩效目标公开表</w:t>
      </w:r>
    </w:p>
    <w:tbl>
      <w:tblPr>
        <w:tblStyle w:val="TableNormal"/>
        <w:tblW w:w="5000" w:type="pct"/>
        <w:tblInd w:w="0" w:type="dxa"/>
        <w:tblLayout w:type="fixed"/>
        <w:tblCellMar>
          <w:top w:w="0" w:type="dxa"/>
          <w:left w:w="10" w:type="dxa"/>
          <w:bottom w:w="0" w:type="dxa"/>
          <w:right w:w="10" w:type="dxa"/>
        </w:tblCellMar>
        <w:tblLook w:firstRow="0" w:lastRow="0" w:firstColumn="0" w:lastColumn="0" w:noHBand="1" w:noVBand="1"/>
      </w:tblPr>
      <w:tblGrid>
        <w:gridCol w:w="1845"/>
        <w:gridCol w:w="2563"/>
        <w:gridCol w:w="3355"/>
        <w:gridCol w:w="1513"/>
        <w:gridCol w:w="6085"/>
      </w:tblGrid>
      <w:tr>
        <w:trPr>
          <w:cantSplit/>
          <w:trHeight w:hRule="exact" w:val="430"/>
        </w:trPr>
        <w:tc>
          <w:tcPr>
            <w:tcW w:w="9263" w:type="dxa"/>
            <w:gridSpan w:val="4"/>
            <w:shd w:val="clear" w:color="auto" w:fill="FFFFFF"/>
            <w:vAlign w:val="bottom"/>
          </w:tcPr>
          <w:p>
            <w:pPr>
              <w:pStyle w:val="Other|1"/>
              <w:spacing w:line="240" w:lineRule="auto"/>
              <w:ind w:firstLine="0"/>
              <w:jc w:val="left"/>
              <w:rPr>
                <w:rFonts w:ascii="宋体" w:eastAsia="宋体" w:hAnsi="宋体" w:asciiTheme="minorEastAsia" w:eastAsiaTheme="minorEastAsia" w:hAnsiTheme="minorEastAsia" w:cs="Arial" w:cstheme="minorEastAsia" w:hint="eastAsia"/>
                <w:sz w:val="18"/>
                <w:szCs w:val="18"/>
                <w:lang w:val="en-US"/>
              </w:rPr>
            </w:pPr>
            <w:r>
              <w:rPr>
                <w:rFonts w:ascii="宋体" w:eastAsia="宋体" w:hAnsi="宋体" w:asciiTheme="minorEastAsia" w:eastAsiaTheme="minorEastAsia" w:hAnsiTheme="minorEastAsia" w:cs="Arial" w:cstheme="minorEastAsia" w:hint="eastAsia"/>
                <w:sz w:val="18"/>
                <w:szCs w:val="18"/>
              </w:rPr>
              <w:t xml:space="preserve">单位名称：</w:t>
            </w:r>
            <w:r>
              <w:rPr>
                <w:rFonts w:ascii="宋体" w:eastAsia="宋体" w:hAnsi="宋体" w:asciiTheme="minorEastAsia" w:eastAsiaTheme="minorEastAsia" w:hAnsiTheme="minorEastAsia" w:cs="Arial" w:cstheme="minorEastAsia" w:hint="eastAsia"/>
                <w:sz w:val="18"/>
                <w:szCs w:val="18"/>
                <w:lang w:eastAsia="zh-CN"/>
              </w:rPr>
              <w:t xml:space="preserve">河池市食品药品检验所</w:t>
            </w:r>
          </w:p>
        </w:tc>
        <w:tc>
          <w:tcPr>
            <w:tcW w:w="6076" w:type="dxa"/>
            <w:shd w:val="clear" w:color="auto" w:fill="FFFFFF"/>
            <w:vAlign w:val="bottom"/>
          </w:tcPr>
          <w:p>
            <w:pPr>
              <w:pStyle w:val="Tablecaption|1"/>
              <w:bidi w:val="0"/>
              <w:jc w:val="right"/>
              <w:rPr>
                <w:rFonts w:ascii="宋体" w:eastAsia="宋体" w:hAnsi="宋体" w:asciiTheme="minorEastAsia" w:eastAsiaTheme="minorEastAsia" w:hAnsiTheme="minorEastAsia" w:cs="Arial" w:cstheme="minorEastAsia" w:hint="eastAsia"/>
                <w:sz w:val="18"/>
                <w:szCs w:val="18"/>
                <w:lang w:val="en-US"/>
              </w:rPr>
            </w:pPr>
            <w:r>
              <w:rPr>
                <w:rFonts w:ascii="宋体" w:eastAsia="宋体" w:hAnsi="宋体" w:asciiTheme="minorEastAsia" w:eastAsiaTheme="minorEastAsia" w:hAnsiTheme="minorEastAsia" w:cs="Arial" w:cstheme="minorEastAsia" w:hint="eastAsia"/>
                <w:sz w:val="18"/>
                <w:szCs w:val="18"/>
                <w:lang w:val="en-US" w:eastAsia="zh-CN"/>
              </w:rPr>
              <w:t xml:space="preserve">表10</w:t>
            </w:r>
          </w:p>
          <w:p>
            <w:pPr>
              <w:pStyle w:val="Heading#2|1"/>
              <w:keepNext/>
              <w:keepLines/>
              <w:spacing w:after="240"/>
              <w:jc w:val="right"/>
              <w:rPr>
                <w:rFonts w:ascii="宋体" w:eastAsia="宋体" w:hAnsi="宋体" w:asciiTheme="minorEastAsia" w:eastAsiaTheme="minorEastAsia" w:hAnsiTheme="minorEastAsia" w:cs="Arial" w:cstheme="minorEastAsia" w:hint="eastAsia"/>
                <w:sz w:val="18"/>
                <w:szCs w:val="18"/>
              </w:rPr>
            </w:pPr>
            <w:r>
              <w:rPr>
                <w:rFonts w:ascii="宋体" w:eastAsia="宋体" w:hAnsi="宋体" w:asciiTheme="minorEastAsia" w:eastAsiaTheme="minorEastAsia" w:hAnsiTheme="minorEastAsia" w:cs="Arial" w:cstheme="minorEastAsia" w:hint="eastAsia"/>
                <w:sz w:val="18"/>
                <w:szCs w:val="18"/>
              </w:rPr>
              <w:t xml:space="preserve">单位：万元</w:t>
            </w:r>
          </w:p>
        </w:tc>
      </w:tr>
      <w:tr>
        <w:tblPrEx>
          <w:tblW w:w="5000" w:type="pct"/>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sz w:val="18"/>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年度绩效目标</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127003</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河池市食品药品检验所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监督抽样经费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117.00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按广西壮族自治区药品监督管理局、河池市市场监督管理局工作实施方案通知要求的检验项目、检验时限等以及规定的国家标准展开对食品（生产、餐饮、食用农产品）、保健品（特殊食品）、化妆品、药品进行抽检，掌握产品的内在质量和有效性、安全性，为监管层面提供技术支撑。按上年任务数估算，2024年我所拟承担广西壮族自治区药品监督管理局委托全年的药品抽检任务70批（河池辖区药品生产企业、医院制剂），承担河池市市场监督管理局委托全年的抽检任务2788批，分别是食品（生产、餐饮、流通、食用农产品）2222批，保健品（特殊食品）58批，化妆品80批，药品120批，应急执法办案300批。</w:t>
            </w:r>
          </w:p>
        </w:tc>
      </w:tr>
      <w:tr>
        <w:tblPrEx>
          <w:tblW w:w="5000" w:type="pct"/>
          <w:tblInd w:w="0" w:type="dxa"/>
          <w:tblLayout w:type="fixed"/>
          <w:tblCellMar>
            <w:top w:w="0" w:type="dxa"/>
            <w:left w:w="10" w:type="dxa"/>
            <w:bottom w:w="0" w:type="dxa"/>
            <w:right w:w="10" w:type="dxa"/>
          </w:tblCellMar>
        </w:tblPrEx>
        <w:trPr>
          <w:cantSplit/>
          <w:trHeight w:val="0"/>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127003</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河池市食品药品检验所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实验楼运行维护及设备计量维护经费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36.00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asciiTheme="minorEastAsia" w:eastAsiaTheme="minorEastAsia" w:hAnsiTheme="minorEastAsia" w:cs="Arial" w:cstheme="minorEastAsia" w:hint="eastAsia"/>
                <w:b w:val="0"/>
                <w:bCs w:val="0"/>
                <w:sz w:val="18"/>
                <w:szCs w:val="18"/>
                <w:lang w:val="en-US" w:eastAsia="zh-CN"/>
              </w:rPr>
            </w:pPr>
            <w:r>
              <w:rPr>
                <w:rFonts w:ascii="宋体" w:eastAsia="宋体" w:hAnsi="宋体" w:asciiTheme="minorEastAsia" w:eastAsiaTheme="minorEastAsia" w:hAnsiTheme="minorEastAsia" w:cs="Arial" w:cstheme="minorEastAsia" w:hint="eastAsia"/>
                <w:b w:val="0"/>
                <w:bCs w:val="0"/>
                <w:sz w:val="18"/>
                <w:szCs w:val="18"/>
                <w:lang w:val="en-US" w:eastAsia="zh-CN"/>
              </w:rPr>
              <w:t xml:space="preserve">维护仪器设备170台以上，扩项130项以上，维护综合试验楼正常运行，保证实验室正常运行，确保实验室资质满足检验需要，保证检验数据准确，报告公正。</w:t>
            </w:r>
          </w:p>
        </w:tc>
      </w:tr>
    </w:tbl>
    <w:p>
      <w:pPr>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18"/>
          <w:szCs w:val="18"/>
        </w:rPr>
        <w:t xml:space="preserve">注：本报表</w:t>
      </w:r>
      <w:r>
        <w:rPr>
          <w:rFonts w:ascii="宋体" w:eastAsia="宋体" w:hAnsi="宋体" w:asciiTheme="minorEastAsia" w:eastAsiaTheme="minorEastAsia" w:hAnsiTheme="minorEastAsia" w:cs="Arial" w:cstheme="minorEastAsia" w:hint="eastAsia"/>
          <w:sz w:val="18"/>
          <w:szCs w:val="18"/>
          <w:lang w:val="en-US" w:eastAsia="zh-CN"/>
        </w:rPr>
        <w:t xml:space="preserve">不包含不宜公开的项目，</w:t>
      </w:r>
      <w:r>
        <w:rPr>
          <w:rFonts w:ascii="宋体" w:eastAsia="宋体" w:hAnsi="宋体" w:asciiTheme="minorEastAsia" w:eastAsiaTheme="minorEastAsia" w:hAnsiTheme="minorEastAsia" w:cs="Arial" w:cstheme="minorEastAsia" w:hint="eastAsia"/>
          <w:sz w:val="18"/>
          <w:szCs w:val="18"/>
        </w:rPr>
        <w:t xml:space="preserve">金额单位转换时可能存在四舍五入尾数误差</w:t>
      </w:r>
      <w:r>
        <w:rPr>
          <w:rFonts w:ascii="宋体" w:eastAsia="宋体" w:hAnsi="宋体" w:asciiTheme="minorEastAsia" w:eastAsiaTheme="minorEastAsia" w:hAnsiTheme="minorEastAsia" w:cs="Arial" w:cstheme="minorEastAsia" w:hint="eastAsia"/>
          <w:sz w:val="32"/>
          <w:szCs w:val="32"/>
        </w:rPr>
        <w:t xml:space="preserve">。</w:t>
      </w:r>
    </w:p>
    <w:p>
      <w:pPr>
        <w:jc w:val="left"/>
        <w:rPr>
          <w:rFonts w:ascii="宋体" w:eastAsia="宋体" w:hAnsi="宋体" w:asciiTheme="minorEastAsia" w:eastAsiaTheme="minorEastAsia" w:hAnsiTheme="minorEastAsia" w:cs="Arial" w:cstheme="minorEastAsia" w:hint="eastAsia"/>
          <w:sz w:val="32"/>
          <w:szCs w:val="32"/>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rFonts w:ascii="黑体" w:eastAsia="黑体" w:hAnsi="黑体" w:cs="黑体" w:hint="eastAsia"/>
          <w:sz w:val="32"/>
          <w:szCs w:val="32"/>
        </w:rPr>
      </w:pPr>
      <w:bookmarkStart w:id="28" w:name="bookmark96"/>
      <w:bookmarkStart w:id="29" w:name="bookmark94"/>
      <w:bookmarkStart w:id="30" w:name="bookmark95"/>
      <w:r>
        <w:rPr>
          <w:rFonts w:ascii="黑体" w:eastAsia="黑体" w:hAnsi="黑体" w:cs="黑体" w:hint="eastAsia"/>
          <w:sz w:val="32"/>
          <w:szCs w:val="32"/>
        </w:rPr>
        <w:t xml:space="preserve">第四部</w:t>
      </w:r>
      <w:r>
        <w:rPr>
          <w:rFonts w:ascii="黑体" w:eastAsia="黑体" w:hAnsi="黑体" w:cs="黑体" w:hint="eastAsia"/>
          <w:sz w:val="32"/>
          <w:szCs w:val="32"/>
        </w:rPr>
        <w:t xml:space="preserve">分名词解释</w:t>
      </w:r>
      <w:bookmarkEnd w:id="28"/>
      <w:bookmarkEnd w:id="29"/>
      <w:bookmarkEnd w:id="30"/>
    </w:p>
    <w:p>
      <w:pPr>
        <w:pStyle w:val="Bodytext|1"/>
        <w:tabs>
          <w:tab w:val="left" w:pos="1270"/>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1" w:name="bookmark97"/>
      <w:r>
        <w:rPr>
          <w:rFonts w:ascii="宋体" w:eastAsia="宋体" w:hAnsi="宋体" w:asciiTheme="minorEastAsia" w:eastAsiaTheme="minorEastAsia" w:hAnsiTheme="minorEastAsia" w:cs="Arial" w:cstheme="minorEastAsia" w:hint="eastAsia"/>
          <w:sz w:val="32"/>
          <w:szCs w:val="32"/>
        </w:rPr>
        <w:t xml:space="preserve">一</w:t>
      </w:r>
      <w:bookmarkEnd w:id="31"/>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财政拨款收入：指预算单位从本级财政部门取得的财政预算资金收入。</w:t>
      </w:r>
    </w:p>
    <w:p>
      <w:pPr>
        <w:pStyle w:val="Bodytext|1"/>
        <w:tabs>
          <w:tab w:val="left" w:pos="1280"/>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2" w:name="bookmark98"/>
      <w:r>
        <w:rPr>
          <w:rFonts w:ascii="宋体" w:eastAsia="宋体" w:hAnsi="宋体" w:asciiTheme="minorEastAsia" w:eastAsiaTheme="minorEastAsia" w:hAnsiTheme="minorEastAsia" w:cs="Arial" w:cstheme="minorEastAsia" w:hint="eastAsia"/>
          <w:sz w:val="32"/>
          <w:szCs w:val="32"/>
        </w:rPr>
        <w:t xml:space="preserve">二</w:t>
      </w:r>
      <w:bookmarkEnd w:id="32"/>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事业收入：指事业单位开展专业业务活动及辅助活动所取得的收入。</w:t>
      </w:r>
    </w:p>
    <w:p>
      <w:pPr>
        <w:pStyle w:val="Bodytext|1"/>
        <w:tabs>
          <w:tab w:val="left" w:pos="1275"/>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3" w:name="bookmark99"/>
      <w:r>
        <w:rPr>
          <w:rFonts w:ascii="宋体" w:eastAsia="宋体" w:hAnsi="宋体" w:asciiTheme="minorEastAsia" w:eastAsiaTheme="minorEastAsia" w:hAnsiTheme="minorEastAsia" w:cs="Arial" w:cstheme="minorEastAsia" w:hint="eastAsia"/>
          <w:sz w:val="32"/>
          <w:szCs w:val="32"/>
        </w:rPr>
        <w:t xml:space="preserve">三</w:t>
      </w:r>
      <w:bookmarkEnd w:id="33"/>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4" w:name="bookmark100"/>
      <w:r>
        <w:rPr>
          <w:rFonts w:ascii="宋体" w:eastAsia="宋体" w:hAnsi="宋体" w:asciiTheme="minorEastAsia" w:eastAsiaTheme="minorEastAsia" w:hAnsiTheme="minorEastAsia" w:cs="Arial" w:cstheme="minorEastAsia" w:hint="eastAsia"/>
          <w:sz w:val="32"/>
          <w:szCs w:val="32"/>
        </w:rPr>
        <w:t xml:space="preserve">四</w:t>
      </w:r>
      <w:bookmarkEnd w:id="34"/>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其他收入：指除上述</w:t>
      </w:r>
      <w:r>
        <w:rPr>
          <w:rFonts w:ascii="宋体" w:eastAsia="宋体" w:hAnsi="宋体" w:asciiTheme="minorEastAsia" w:eastAsiaTheme="minorEastAsia" w:hAnsiTheme="minorEastAsia" w:cs="Arial" w:cstheme="minorEastAsia" w:hint="eastAsia"/>
          <w:sz w:val="32"/>
          <w:szCs w:val="32"/>
          <w:lang w:val="zh-CN" w:eastAsia="zh-CN" w:bidi="zh-CN"/>
        </w:rPr>
        <w:t xml:space="preserve">“财</w:t>
      </w:r>
      <w:r>
        <w:rPr>
          <w:rFonts w:ascii="宋体" w:eastAsia="宋体" w:hAnsi="宋体" w:asciiTheme="minorEastAsia" w:eastAsiaTheme="minorEastAsia" w:hAnsiTheme="minorEastAsia" w:cs="Arial" w:cstheme="minorEastAsia" w:hint="eastAsia"/>
          <w:sz w:val="32"/>
          <w:szCs w:val="32"/>
        </w:rPr>
        <w:t xml:space="preserve">政拨款收入”、</w:t>
      </w:r>
      <w:r>
        <w:rPr>
          <w:rFonts w:ascii="宋体" w:eastAsia="宋体" w:hAnsi="宋体" w:asciiTheme="minorEastAsia" w:eastAsiaTheme="minorEastAsia" w:hAnsiTheme="minorEastAsia" w:cs="Arial" w:cstheme="minorEastAsia" w:hint="eastAsia"/>
          <w:sz w:val="32"/>
          <w:szCs w:val="32"/>
          <w:lang w:val="zh-CN" w:eastAsia="zh-CN" w:bidi="zh-CN"/>
        </w:rPr>
        <w:t xml:space="preserve">“事</w:t>
      </w:r>
      <w:r>
        <w:rPr>
          <w:rFonts w:ascii="宋体" w:eastAsia="宋体" w:hAnsi="宋体" w:asciiTheme="minorEastAsia" w:eastAsiaTheme="minorEastAsia" w:hAnsiTheme="minorEastAsia" w:cs="Arial" w:cstheme="minorEastAsia" w:hint="eastAsia"/>
          <w:sz w:val="32"/>
          <w:szCs w:val="32"/>
        </w:rPr>
        <w:t xml:space="preserve">业收入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“经营</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等以外的收入。主要是非本级财政拨款、存款利息收入、事业单位固定资产出租收入等。</w:t>
      </w:r>
    </w:p>
    <w:p>
      <w:pPr>
        <w:pStyle w:val="Bodytext|1"/>
        <w:tabs>
          <w:tab w:val="left" w:pos="1275"/>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5" w:name="bookmark101"/>
      <w:r>
        <w:rPr>
          <w:rFonts w:ascii="宋体" w:eastAsia="宋体" w:hAnsi="宋体" w:asciiTheme="minorEastAsia" w:eastAsiaTheme="minorEastAsia" w:hAnsiTheme="minorEastAsia" w:cs="Arial" w:cstheme="minorEastAsia" w:hint="eastAsia"/>
          <w:sz w:val="32"/>
          <w:szCs w:val="32"/>
        </w:rPr>
        <w:t xml:space="preserve">五</w:t>
      </w:r>
      <w:bookmarkEnd w:id="35"/>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用事业基金弥补收支差额：指事业单位在用当年的</w:t>
      </w:r>
      <w:r>
        <w:rPr>
          <w:rFonts w:ascii="宋体" w:eastAsia="宋体" w:hAnsi="宋体" w:asciiTheme="minorEastAsia" w:eastAsiaTheme="minorEastAsia" w:hAnsiTheme="minorEastAsia" w:cs="Arial" w:cstheme="minorEastAsia" w:hint="eastAsia"/>
          <w:sz w:val="32"/>
          <w:szCs w:val="32"/>
          <w:lang w:val="zh-CN" w:eastAsia="zh-CN" w:bidi="zh-CN"/>
        </w:rPr>
        <w:t xml:space="preserve">“财</w:t>
      </w:r>
      <w:r>
        <w:rPr>
          <w:rFonts w:ascii="宋体" w:eastAsia="宋体" w:hAnsi="宋体" w:asciiTheme="minorEastAsia" w:eastAsiaTheme="minorEastAsia" w:hAnsiTheme="minorEastAsia" w:cs="Arial" w:cstheme="minorEastAsia" w:hint="eastAsia"/>
          <w:sz w:val="32"/>
          <w:szCs w:val="32"/>
        </w:rPr>
        <w:t xml:space="preserve">政拨款收入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“事业</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“经营</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lang w:val="zh-CN" w:eastAsia="zh-CN" w:bidi="zh-CN"/>
        </w:rPr>
        <w:t xml:space="preserve">“其他</w:t>
      </w:r>
      <w:r>
        <w:rPr>
          <w:rFonts w:ascii="宋体" w:eastAsia="宋体" w:hAnsi="宋体" w:asciiTheme="minorEastAsia" w:eastAsiaTheme="minorEastAsia" w:hAnsiTheme="minorEastAsia" w:cs="Arial" w:cstheme="minorEastAsia" w:hint="eastAsia"/>
          <w:sz w:val="32"/>
          <w:szCs w:val="32"/>
        </w:rPr>
        <w:t xml:space="preserve">收入</w:t>
      </w:r>
      <w:r>
        <w:rPr>
          <w:rFonts w:ascii="宋体" w:eastAsia="宋体" w:hAnsi="宋体" w:asciiTheme="minorEastAsia" w:eastAsiaTheme="minorEastAsia" w:hAnsiTheme="minorEastAsia" w:cs="Arial" w:cstheme="minorEastAsia" w:hint="eastAsia"/>
          <w:sz w:val="32"/>
          <w:szCs w:val="32"/>
          <w:lang w:eastAsia="zh-CN"/>
        </w:rPr>
        <w:t xml:space="preserve">”</w:t>
      </w:r>
      <w:r>
        <w:rPr>
          <w:rFonts w:ascii="宋体" w:eastAsia="宋体" w:hAnsi="宋体" w:asciiTheme="minorEastAsia" w:eastAsiaTheme="minorEastAsia" w:hAnsiTheme="minorEastAsia" w:cs="Arial" w:cstheme="minorEastAsia" w:hint="eastAsia"/>
          <w:sz w:val="32"/>
          <w:szCs w:val="32"/>
        </w:rPr>
        <w:t xml:space="preserve">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6" w:name="bookmark102"/>
      <w:r>
        <w:rPr>
          <w:rFonts w:ascii="宋体" w:eastAsia="宋体" w:hAnsi="宋体" w:asciiTheme="minorEastAsia" w:eastAsiaTheme="minorEastAsia" w:hAnsiTheme="minorEastAsia" w:cs="Arial" w:cstheme="minorEastAsia" w:hint="eastAsia"/>
          <w:sz w:val="32"/>
          <w:szCs w:val="32"/>
        </w:rPr>
        <w:t xml:space="preserve">六</w:t>
      </w:r>
      <w:bookmarkEnd w:id="36"/>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年初结转和结余：指以前年度尚未完成、结转到本年按有关规定继续使用的资金。</w:t>
      </w:r>
    </w:p>
    <w:p>
      <w:pPr>
        <w:pStyle w:val="Bodytext|1"/>
        <w:tabs>
          <w:tab w:val="left" w:pos="1275"/>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7" w:name="bookmark103"/>
      <w:r>
        <w:rPr>
          <w:rFonts w:ascii="宋体" w:eastAsia="宋体" w:hAnsi="宋体" w:asciiTheme="minorEastAsia" w:eastAsiaTheme="minorEastAsia" w:hAnsiTheme="minorEastAsia" w:cs="Arial" w:cstheme="minorEastAsia" w:hint="eastAsia"/>
          <w:sz w:val="32"/>
          <w:szCs w:val="32"/>
        </w:rPr>
        <w:t xml:space="preserve">七</w:t>
      </w:r>
      <w:bookmarkEnd w:id="37"/>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rPr>
          <w:rFonts w:ascii="宋体" w:eastAsia="宋体" w:hAnsi="宋体" w:asciiTheme="minorEastAsia" w:eastAsiaTheme="minorEastAsia" w:hAnsiTheme="minorEastAsia" w:cs="Arial" w:cstheme="minorEastAsia" w:hint="eastAsia"/>
          <w:sz w:val="32"/>
          <w:szCs w:val="32"/>
        </w:rPr>
      </w:pPr>
      <w:bookmarkStart w:id="38" w:name="bookmark104"/>
      <w:r>
        <w:rPr>
          <w:rFonts w:ascii="宋体" w:eastAsia="宋体" w:hAnsi="宋体" w:asciiTheme="minorEastAsia" w:eastAsiaTheme="minorEastAsia" w:hAnsiTheme="minorEastAsia" w:cs="Arial" w:cstheme="minorEastAsia" w:hint="eastAsia"/>
          <w:sz w:val="32"/>
          <w:szCs w:val="32"/>
        </w:rPr>
        <w:t xml:space="preserve">八</w:t>
      </w:r>
      <w:bookmarkEnd w:id="38"/>
      <w:r>
        <w:rPr>
          <w:rFonts w:ascii="宋体" w:eastAsia="宋体" w:hAnsi="宋体" w:asciiTheme="minorEastAsia" w:eastAsiaTheme="minorEastAsia" w:hAnsiTheme="minorEastAsia" w:cs="Arial" w:cstheme="minorEastAsia" w:hint="eastAsia"/>
          <w:sz w:val="32"/>
          <w:szCs w:val="32"/>
        </w:rPr>
        <w:t xml:space="preserve">、</w:t>
      </w:r>
      <w:r>
        <w:rPr>
          <w:rFonts w:ascii="宋体" w:eastAsia="宋体" w:hAnsi="宋体" w:asciiTheme="minorEastAsia" w:eastAsiaTheme="minorEastAsia" w:hAnsiTheme="minorEastAsia" w:cs="Arial" w:cstheme="minorEastAsia" w:hint="eastAsia"/>
          <w:sz w:val="32"/>
          <w:szCs w:val="32"/>
        </w:rPr>
        <w:tab/>
      </w:r>
      <w:r>
        <w:rPr>
          <w:rFonts w:ascii="宋体" w:eastAsia="宋体" w:hAnsi="宋体" w:asciiTheme="minorEastAsia" w:eastAsiaTheme="minorEastAsia" w:hAnsiTheme="minorEastAsia" w:cs="Arial" w:cstheme="minorEastAsia" w:hint="eastAsia"/>
          <w:sz w:val="32"/>
          <w:szCs w:val="32"/>
        </w:rP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bookmarkStart w:id="39" w:name="bookmark105"/>
      <w:r>
        <w:rPr>
          <w:rFonts w:ascii="宋体" w:eastAsia="宋体" w:hAnsi="宋体" w:asciiTheme="minorEastAsia" w:eastAsiaTheme="minorEastAsia" w:hAnsiTheme="minorEastAsia" w:cs="Arial" w:cstheme="minorEastAsia" w:hint="eastAsia"/>
          <w:sz w:val="32"/>
          <w:szCs w:val="32"/>
        </w:rPr>
        <w:t xml:space="preserve">九</w:t>
      </w:r>
      <w:bookmarkEnd w:id="39"/>
      <w:r>
        <w:rPr>
          <w:rFonts w:ascii="宋体" w:eastAsia="宋体" w:hAnsi="宋体" w:asciiTheme="minorEastAsia" w:eastAsiaTheme="minorEastAsia" w:hAnsiTheme="minorEastAsia" w:cs="Arial" w:cstheme="minorEastAsia" w:hint="eastAsia"/>
          <w:sz w:val="32"/>
          <w:szCs w:val="32"/>
        </w:rPr>
        <w:t xml:space="preserve">、基本支出：指为保障机构正常运转、完成日常工作任务而发生的人员支出和公用支出。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十、项目支出：指在基本支出之外为完成特定行政任务和事业发展目标所发生的支出。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十一、经营支出：指事业单位在专业业务活动及其辅助活动之外开展非独立核算经营活动所发生的支出。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十二、</w:t>
      </w:r>
      <w:r>
        <w:rPr>
          <w:rFonts w:ascii="宋体" w:eastAsia="宋体" w:hAnsi="宋体" w:asciiTheme="minorEastAsia" w:eastAsiaTheme="minorEastAsia" w:hAnsiTheme="minorEastAsia" w:cs="Arial" w:cstheme="minorEastAsia" w:hint="eastAsia"/>
          <w:sz w:val="32"/>
          <w:szCs w:val="32"/>
          <w:lang w:val="zh-CN" w:eastAsia="zh-CN" w:bidi="zh-CN"/>
        </w:rPr>
        <w:t xml:space="preserve">“三</w:t>
      </w:r>
      <w:r>
        <w:rPr>
          <w:rFonts w:ascii="宋体" w:eastAsia="宋体" w:hAnsi="宋体" w:asciiTheme="minorEastAsia" w:eastAsiaTheme="minorEastAsia" w:hAnsiTheme="minorEastAsia" w:cs="Arial" w:cstheme="minorEastAsia" w:hint="eastAsia"/>
          <w:sz w:val="32"/>
          <w:szCs w:val="32"/>
        </w:rPr>
        <w:t xml:space="preserve">公”经费：纳入财政预决算管理的</w:t>
      </w:r>
      <w:r>
        <w:rPr>
          <w:rFonts w:ascii="宋体" w:eastAsia="宋体" w:hAnsi="宋体" w:asciiTheme="minorEastAsia" w:eastAsiaTheme="minorEastAsia" w:hAnsiTheme="minorEastAsia" w:cs="Arial" w:cstheme="minorEastAsia" w:hint="eastAsia"/>
          <w:sz w:val="32"/>
          <w:szCs w:val="32"/>
          <w:lang w:val="zh-CN" w:eastAsia="zh-CN" w:bidi="zh-CN"/>
        </w:rPr>
        <w:t xml:space="preserve">“三公</w:t>
      </w:r>
      <w:r>
        <w:rPr>
          <w:rFonts w:ascii="宋体" w:eastAsia="宋体" w:hAnsi="宋体" w:asciiTheme="minorEastAsia" w:eastAsiaTheme="minorEastAsia" w:hAnsiTheme="minorEastAsia" w:cs="Arial" w:cstheme="minorEastAsia" w:hint="eastAsia"/>
          <w:sz w:val="32"/>
          <w:szCs w:val="32"/>
        </w:rPr>
        <w:t xml:space="preserve">”经费，是指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rPr>
          <w:rFonts w:ascii="宋体" w:eastAsia="宋体" w:hAnsi="宋体" w:asciiTheme="minorEastAsia" w:eastAsiaTheme="minorEastAsia" w:hAnsiTheme="minorEastAsia" w:cs="Arial" w:cstheme="minorEastAsia" w:hint="eastAsia"/>
          <w:sz w:val="32"/>
          <w:szCs w:val="32"/>
        </w:rPr>
      </w:pPr>
      <w:r>
        <w:rPr>
          <w:rFonts w:ascii="宋体" w:eastAsia="宋体" w:hAnsi="宋体" w:asciiTheme="minorEastAsia" w:eastAsiaTheme="minorEastAsia" w:hAnsiTheme="minorEastAsia" w:cs="Arial" w:cstheme="minorEastAsia" w:hint="eastAsia"/>
          <w:sz w:val="32"/>
          <w:szCs w:val="32"/>
        </w:rP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95"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050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0703"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10509"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0705"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10511"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0706"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10512"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0707"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10513"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08"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1051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070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050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070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051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doNotDisplayPageBoundaries/>
  <w:bordersDoNotSurroundFooter w:val="0"/>
  <w:bordersDoNotSurroundHeader w:val="0"/>
  <w:doNotTrackMoves/>
  <w:documentProtection w:enforcement="1" w:edit="comments" w:salt="3Q8pVeT3+mVFFMWLYAfdDA==" w:hash="mUlYA7CqLKc45F+VbhlMveNS4cHBGtX/sEHcDxLAmMovIYML845TYfhmcTH/ym49asMbqy/1LBhMkzPA2aCVt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GMwZTIwMjA5OTI4N2MwODc2NzEzYWVkMzg3YjQ5N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TableNormal">
    <w:name w:val="Normal Table"/>
    <w:autoRedefine/>
    <w:uiPriority w:val="99"/>
    <w:semiHidden/>
    <w:unhideWhenUsed/>
    <w:qFormat/>
    <w:rPr/>
    <w:tblPr>
      <w:tblCellMar>
        <w:top w:w="0" w:type="dxa"/>
        <w:left w:w="108" w:type="dxa"/>
        <w:bottom w:w="0" w:type="dxa"/>
        <w:right w:w="108" w:type="dxa"/>
      </w:tblCellMar>
    </w:tblPr>
  </w:style>
  <w:style w:type="paragraph" w:styleId="annotationtext">
    <w:name w:val="annotation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TableNormal"/>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notationreference">
    <w:name w:val="annotation reference"/>
    <w:basedOn w:val="DefaultParagraphFont"/>
    <w:autoRedefine/>
    <w:qFormat/>
    <w:rPr>
      <w:sz w:val="21"/>
      <w:szCs w:val="21"/>
    </w:rPr>
  </w:style>
  <w:style w:type="character" w:customStyle="1" w:styleId="Bodytext|5_">
    <w:name w:val="Body text|5_"/>
    <w:basedOn w:val="DefaultParagraphFont"/>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autoRedefine/>
    <w:qFormat/>
    <w:rPr>
      <w:sz w:val="20"/>
      <w:szCs w:val="20"/>
      <w:u w:val="none"/>
      <w:shd w:val="clear" w:color="auto" w:fill="auto"/>
      <w:lang w:val="zh-TW" w:eastAsia="zh-TW" w:bidi="zh-TW"/>
    </w:rPr>
  </w:style>
  <w:style w:type="paragraph" w:customStyle="1" w:styleId="Headerorfooter|2">
    <w:name w:val="Header or footer|2"/>
    <w:basedOn w:val="Normal"/>
    <w:autoRedefine/>
    <w:qFormat/>
    <w:rPr>
      <w:sz w:val="20"/>
      <w:szCs w:val="20"/>
      <w:lang w:val="zh-TW" w:eastAsia="zh-TW" w:bidi="zh-TW"/>
    </w:rPr>
  </w:style>
  <w:style w:type="character" w:customStyle="1" w:styleId="Bodytext|2_">
    <w:name w:val="Body text|2_"/>
    <w:basedOn w:val="DefaultParagraphFont"/>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autoRedefine/>
    <w:qFormat/>
    <w:rPr>
      <w:b/>
      <w:bCs/>
      <w:sz w:val="17"/>
      <w:szCs w:val="17"/>
      <w:u w:val="none"/>
      <w:shd w:val="clear" w:color="auto" w:fill="auto"/>
      <w:lang w:val="zh-TW" w:eastAsia="zh-TW" w:bidi="zh-TW"/>
    </w:rPr>
  </w:style>
  <w:style w:type="paragraph" w:customStyle="1" w:styleId="Headerorfooter|1">
    <w:name w:val="Header or footer|1"/>
    <w:basedOn w:val="Normal"/>
    <w:autoRedefine/>
    <w:qFormat/>
    <w:rPr>
      <w:b/>
      <w:bCs/>
      <w:sz w:val="17"/>
      <w:szCs w:val="17"/>
      <w:lang w:val="zh-TW" w:eastAsia="zh-TW" w:bidi="zh-TW"/>
    </w:rPr>
  </w:style>
  <w:style w:type="character" w:customStyle="1" w:styleId="Heading#2|1_">
    <w:name w:val="Heading #2|1_"/>
    <w:basedOn w:val="DefaultParagraphFont"/>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autoRedefine/>
    <w:qFormat/>
    <w:rPr>
      <w:rFonts w:ascii="宋体" w:eastAsia="宋体" w:hAnsi="宋体" w:cs="宋体"/>
      <w:sz w:val="17"/>
      <w:szCs w:val="17"/>
      <w:lang w:val="zh-TW" w:eastAsia="zh-TW" w:bidi="zh-TW"/>
    </w:rPr>
  </w:style>
  <w:style w:type="character" w:customStyle="1" w:styleId="Bodytext|4_">
    <w:name w:val="Body text|4_"/>
    <w:basedOn w:val="DefaultParagraphFont"/>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autoRedefine/>
    <w:qFormat/>
    <w:rPr>
      <w:sz w:val="30"/>
      <w:szCs w:val="30"/>
      <w:u w:val="none"/>
      <w:shd w:val="clear" w:color="auto" w:fill="auto"/>
      <w:lang w:val="zh-TW" w:eastAsia="zh-TW" w:bidi="zh-TW"/>
    </w:rPr>
  </w:style>
  <w:style w:type="paragraph" w:customStyle="1" w:styleId="Bodytext|3">
    <w:name w:val="Body text|3"/>
    <w:basedOn w:val="Normal"/>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765.95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ptCount val="4"/>
                <c:pt idx="0">
                  <c:v>569.52</c:v>
                </c:pt>
                <c:pt idx="1">
                  <c:v>105.76</c:v>
                </c:pt>
                <c:pt idx="2">
                  <c:v>44.75</c:v>
                </c:pt>
                <c:pt idx="3">
                  <c:v>45.94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612.23</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765.95</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612.95</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153.0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24.46</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588.49</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588.49</c:v>
                </c:pt>
                <c:pt idx="1">
                  <c:v>24.46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0.5</c:v>
                </c:pt>
                <c:pt idx="2">
                  <c:v>5.0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0.45</c:v>
                </c:pt>
                <c:pt idx="2">
                  <c:v>4.5</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2024-03-28T00:59:43Z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28</TotalTime>
  <ScaleCrop>false</ScaleCrop>
  <LinksUpToDate>false</LinksUpToDate>
  <CharactersWithSpaces>11333</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188945CC6C5F40C69E357AB1C734F899_13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28</TotalTime>
  <Pages>35</Pages>
  <Words>8576</Words>
  <Characters>11046</Characters>
  <Application>WPS Office_12.1.0.16417_F1E327BC-269C-435d-A152-05C5408002CA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2024-05-23T01:21:37Z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2052-12.1.0.16417</vt:lpstr>
  </property>
  <property fmtid="{D5CDD505-2E9C-101B-9397-08002B2CF9AE}" pid="3" name="ICV">
    <vt:lpstr>188945CC6C5F40C69E357AB1C734F899_13</vt:lpstr>
  </property>
</Properties>
</file>