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0" w:beforeAutospacing="0" w:after="150" w:afterAutospacing="0"/>
        <w:ind w:left="0" w:right="0" w:firstLine="0"/>
        <w:jc w:val="center"/>
        <w:rPr>
          <w:rFonts w:hint="eastAsia" w:ascii="Tahoma" w:hAnsi="Tahoma" w:eastAsia="宋体" w:cs="Tahoma"/>
          <w:i w:val="0"/>
          <w:iCs w:val="0"/>
          <w:caps w:val="0"/>
          <w:color w:val="333333"/>
          <w:spacing w:val="0"/>
          <w:kern w:val="0"/>
          <w:sz w:val="19"/>
          <w:szCs w:val="19"/>
          <w:bdr w:val="none" w:color="auto" w:sz="0" w:space="0"/>
          <w:shd w:val="clear" w:fill="F7F7F7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0" w:beforeAutospacing="0" w:after="150" w:afterAutospacing="0"/>
        <w:ind w:left="0" w:right="0" w:firstLine="0"/>
        <w:jc w:val="center"/>
        <w:rPr>
          <w:rFonts w:hint="default" w:ascii="Tahoma" w:hAnsi="Tahoma" w:eastAsia="Tahoma" w:cs="Tahoma"/>
          <w:b/>
          <w:bCs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Tahoma" w:hAnsi="Tahoma" w:eastAsia="宋体" w:cs="Tahoma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bdr w:val="none" w:color="auto" w:sz="0" w:space="0"/>
          <w:shd w:val="clear" w:fill="F7F7F7"/>
          <w:lang w:val="en-US" w:eastAsia="zh-CN" w:bidi="ar"/>
        </w:rPr>
        <w:t>河池市疾病预防控制中心</w:t>
      </w:r>
      <w:r>
        <w:rPr>
          <w:rFonts w:hint="default" w:ascii="Tahoma" w:hAnsi="Tahoma" w:eastAsia="Tahoma" w:cs="Tahoma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bdr w:val="none" w:color="auto" w:sz="0" w:space="0"/>
          <w:shd w:val="clear" w:fill="F7F7F7"/>
          <w:lang w:val="en-US" w:eastAsia="zh-CN" w:bidi="ar"/>
        </w:rPr>
        <w:t>2024年“三公”经费预算公开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0" w:beforeAutospacing="0" w:after="150" w:afterAutospacing="0"/>
        <w:ind w:left="0" w:right="0" w:firstLine="640"/>
        <w:jc w:val="left"/>
        <w:rPr>
          <w:rFonts w:hint="default" w:ascii="Tahoma" w:hAnsi="Tahoma" w:eastAsia="Tahoma" w:cs="Tahoma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default" w:ascii="Tahoma" w:hAnsi="Tahoma" w:eastAsia="Tahoma" w:cs="Tahoma"/>
          <w:i w:val="0"/>
          <w:iCs w:val="0"/>
          <w:caps w:val="0"/>
          <w:color w:val="333333"/>
          <w:spacing w:val="0"/>
          <w:kern w:val="0"/>
          <w:sz w:val="19"/>
          <w:szCs w:val="19"/>
          <w:bdr w:val="none" w:color="auto" w:sz="0" w:space="0"/>
          <w:shd w:val="clear" w:fill="F7F7F7"/>
          <w:lang w:val="en-US" w:eastAsia="zh-CN" w:bidi="ar"/>
        </w:rPr>
        <w:t>  </w:t>
      </w:r>
    </w:p>
    <w:p>
      <w:pPr>
        <w:numPr>
          <w:numId w:val="0"/>
        </w:numPr>
        <w:ind w:firstLine="600" w:firstLineChars="200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2024年一般公共预算拨款安排的“三公”经费支出预算2.5万元，</w:t>
      </w:r>
      <w:r>
        <w:rPr>
          <w:rFonts w:hint="default"/>
          <w:sz w:val="30"/>
          <w:szCs w:val="30"/>
          <w:lang w:val="en-US" w:eastAsia="zh-CN"/>
        </w:rPr>
        <w:t>2023年初预算</w:t>
      </w:r>
      <w:r>
        <w:rPr>
          <w:rFonts w:hint="eastAsia"/>
          <w:sz w:val="30"/>
          <w:szCs w:val="30"/>
          <w:lang w:val="en-US" w:eastAsia="zh-CN"/>
        </w:rPr>
        <w:t>4.3</w:t>
      </w:r>
      <w:r>
        <w:rPr>
          <w:rFonts w:hint="default"/>
          <w:sz w:val="30"/>
          <w:szCs w:val="30"/>
          <w:lang w:val="en-US" w:eastAsia="zh-CN"/>
        </w:rPr>
        <w:t>万元，同比上年度减少</w:t>
      </w:r>
      <w:r>
        <w:rPr>
          <w:rFonts w:hint="eastAsia"/>
          <w:sz w:val="30"/>
          <w:szCs w:val="30"/>
          <w:lang w:val="en-US" w:eastAsia="zh-CN"/>
        </w:rPr>
        <w:t>1.8</w:t>
      </w:r>
      <w:r>
        <w:rPr>
          <w:rFonts w:hint="default"/>
          <w:sz w:val="30"/>
          <w:szCs w:val="30"/>
          <w:lang w:val="en-US" w:eastAsia="zh-CN"/>
        </w:rPr>
        <w:t>万元，下降</w:t>
      </w:r>
      <w:r>
        <w:rPr>
          <w:rFonts w:hint="eastAsia"/>
          <w:sz w:val="30"/>
          <w:szCs w:val="30"/>
          <w:lang w:val="en-US" w:eastAsia="zh-CN"/>
        </w:rPr>
        <w:t>41.86</w:t>
      </w:r>
      <w:r>
        <w:rPr>
          <w:rFonts w:hint="default"/>
          <w:sz w:val="30"/>
          <w:szCs w:val="30"/>
          <w:lang w:val="en-US" w:eastAsia="zh-CN"/>
        </w:rPr>
        <w:t>%。</w:t>
      </w:r>
      <w:r>
        <w:rPr>
          <w:rFonts w:hint="eastAsia"/>
          <w:sz w:val="30"/>
          <w:szCs w:val="30"/>
        </w:rPr>
        <w:t>其中：</w:t>
      </w:r>
    </w:p>
    <w:p>
      <w:pPr>
        <w:numPr>
          <w:ilvl w:val="0"/>
          <w:numId w:val="1"/>
        </w:numPr>
        <w:ind w:firstLine="600" w:firstLineChars="200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公务接待费202</w:t>
      </w:r>
      <w:r>
        <w:rPr>
          <w:rFonts w:hint="eastAsia"/>
          <w:sz w:val="30"/>
          <w:szCs w:val="30"/>
          <w:lang w:val="en-US" w:eastAsia="zh-CN"/>
        </w:rPr>
        <w:t>4</w:t>
      </w:r>
      <w:r>
        <w:rPr>
          <w:rFonts w:hint="eastAsia"/>
          <w:sz w:val="30"/>
          <w:szCs w:val="30"/>
        </w:rPr>
        <w:t>年预算</w:t>
      </w:r>
      <w:r>
        <w:rPr>
          <w:rFonts w:hint="eastAsia"/>
          <w:sz w:val="30"/>
          <w:szCs w:val="30"/>
          <w:lang w:val="en-US" w:eastAsia="zh-CN"/>
        </w:rPr>
        <w:t>1</w:t>
      </w:r>
      <w:r>
        <w:rPr>
          <w:rFonts w:hint="eastAsia"/>
          <w:sz w:val="30"/>
          <w:szCs w:val="30"/>
        </w:rPr>
        <w:t>万元，</w:t>
      </w:r>
      <w:r>
        <w:rPr>
          <w:rFonts w:hint="eastAsia"/>
          <w:sz w:val="30"/>
          <w:szCs w:val="30"/>
          <w:lang w:eastAsia="zh-CN"/>
        </w:rPr>
        <w:t>与</w:t>
      </w:r>
      <w:r>
        <w:rPr>
          <w:rFonts w:hint="eastAsia"/>
          <w:sz w:val="30"/>
          <w:szCs w:val="30"/>
        </w:rPr>
        <w:t>202</w:t>
      </w:r>
      <w:r>
        <w:rPr>
          <w:rFonts w:hint="eastAsia"/>
          <w:sz w:val="30"/>
          <w:szCs w:val="30"/>
          <w:lang w:val="en-US" w:eastAsia="zh-CN"/>
        </w:rPr>
        <w:t>3</w:t>
      </w:r>
      <w:r>
        <w:rPr>
          <w:rFonts w:hint="eastAsia"/>
          <w:sz w:val="30"/>
          <w:szCs w:val="30"/>
        </w:rPr>
        <w:t>年</w:t>
      </w:r>
      <w:r>
        <w:rPr>
          <w:rFonts w:hint="eastAsia"/>
          <w:sz w:val="30"/>
          <w:szCs w:val="30"/>
          <w:lang w:eastAsia="zh-CN"/>
        </w:rPr>
        <w:t>相比增加</w:t>
      </w:r>
      <w:r>
        <w:rPr>
          <w:rFonts w:hint="eastAsia"/>
          <w:sz w:val="30"/>
          <w:szCs w:val="30"/>
          <w:lang w:val="en-US" w:eastAsia="zh-CN"/>
        </w:rPr>
        <w:t>0.7万元</w:t>
      </w:r>
      <w:r>
        <w:rPr>
          <w:rFonts w:hint="eastAsia"/>
          <w:sz w:val="30"/>
          <w:szCs w:val="30"/>
        </w:rPr>
        <w:t>。主要是</w:t>
      </w:r>
      <w:r>
        <w:rPr>
          <w:rFonts w:hint="eastAsia"/>
          <w:sz w:val="30"/>
          <w:szCs w:val="30"/>
          <w:lang w:eastAsia="zh-CN"/>
        </w:rPr>
        <w:t>与市卫生监督所合并后接待预算相应增加</w:t>
      </w:r>
      <w:r>
        <w:rPr>
          <w:rFonts w:hint="eastAsia"/>
          <w:sz w:val="30"/>
          <w:szCs w:val="30"/>
        </w:rPr>
        <w:t>。</w:t>
      </w:r>
    </w:p>
    <w:p>
      <w:pPr>
        <w:numPr>
          <w:ilvl w:val="0"/>
          <w:numId w:val="1"/>
        </w:numPr>
        <w:ind w:firstLine="600" w:firstLineChars="200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公务用车202</w:t>
      </w:r>
      <w:r>
        <w:rPr>
          <w:rFonts w:hint="eastAsia"/>
          <w:sz w:val="30"/>
          <w:szCs w:val="30"/>
          <w:lang w:val="en-US" w:eastAsia="zh-CN"/>
        </w:rPr>
        <w:t>4</w:t>
      </w:r>
      <w:r>
        <w:rPr>
          <w:rFonts w:hint="eastAsia"/>
          <w:sz w:val="30"/>
          <w:szCs w:val="30"/>
        </w:rPr>
        <w:t>年预算运行费</w:t>
      </w:r>
      <w:r>
        <w:rPr>
          <w:rFonts w:hint="eastAsia"/>
          <w:sz w:val="30"/>
          <w:szCs w:val="30"/>
          <w:lang w:val="en-US" w:eastAsia="zh-CN"/>
        </w:rPr>
        <w:t>1.5</w:t>
      </w:r>
      <w:r>
        <w:rPr>
          <w:rFonts w:hint="eastAsia"/>
          <w:sz w:val="30"/>
          <w:szCs w:val="30"/>
        </w:rPr>
        <w:t>万元，</w:t>
      </w:r>
      <w:r>
        <w:rPr>
          <w:rFonts w:hint="eastAsia"/>
          <w:sz w:val="30"/>
          <w:szCs w:val="30"/>
          <w:lang w:eastAsia="zh-CN"/>
        </w:rPr>
        <w:t>与</w:t>
      </w:r>
      <w:r>
        <w:rPr>
          <w:rFonts w:hint="eastAsia"/>
          <w:sz w:val="30"/>
          <w:szCs w:val="30"/>
        </w:rPr>
        <w:t>202</w:t>
      </w:r>
      <w:r>
        <w:rPr>
          <w:rFonts w:hint="eastAsia"/>
          <w:sz w:val="30"/>
          <w:szCs w:val="30"/>
          <w:lang w:val="en-US" w:eastAsia="zh-CN"/>
        </w:rPr>
        <w:t>3</w:t>
      </w:r>
      <w:r>
        <w:rPr>
          <w:rFonts w:hint="eastAsia"/>
          <w:sz w:val="30"/>
          <w:szCs w:val="30"/>
        </w:rPr>
        <w:t>年</w:t>
      </w:r>
      <w:r>
        <w:rPr>
          <w:rFonts w:hint="eastAsia"/>
          <w:sz w:val="30"/>
          <w:szCs w:val="30"/>
          <w:lang w:eastAsia="zh-CN"/>
        </w:rPr>
        <w:t>相比减少</w:t>
      </w:r>
      <w:r>
        <w:rPr>
          <w:rFonts w:hint="eastAsia"/>
          <w:sz w:val="30"/>
          <w:szCs w:val="30"/>
          <w:lang w:val="en-US" w:eastAsia="zh-CN"/>
        </w:rPr>
        <w:t>2.5万元</w:t>
      </w:r>
      <w:r>
        <w:rPr>
          <w:rFonts w:hint="eastAsia"/>
          <w:sz w:val="30"/>
          <w:szCs w:val="30"/>
        </w:rPr>
        <w:t>，主要</w:t>
      </w:r>
      <w:r>
        <w:rPr>
          <w:rFonts w:hint="eastAsia"/>
          <w:sz w:val="30"/>
          <w:szCs w:val="30"/>
          <w:lang w:eastAsia="zh-CN"/>
        </w:rPr>
        <w:t>是按照节约的原则</w:t>
      </w:r>
      <w:r>
        <w:rPr>
          <w:rFonts w:hint="eastAsia"/>
          <w:sz w:val="30"/>
          <w:szCs w:val="30"/>
        </w:rPr>
        <w:t>尽量减少公务用车运行维护费。</w:t>
      </w:r>
    </w:p>
    <w:p>
      <w:pPr>
        <w:numPr>
          <w:ilvl w:val="0"/>
          <w:numId w:val="1"/>
        </w:numPr>
        <w:ind w:firstLine="600" w:firstLineChars="200"/>
        <w:rPr>
          <w:rFonts w:hint="default"/>
          <w:sz w:val="30"/>
          <w:szCs w:val="30"/>
          <w:lang w:eastAsia="zh-CN"/>
        </w:rPr>
      </w:pPr>
      <w:r>
        <w:rPr>
          <w:rFonts w:hint="default"/>
          <w:sz w:val="30"/>
          <w:szCs w:val="30"/>
          <w:lang w:val="en-US" w:eastAsia="zh-CN"/>
        </w:rPr>
        <w:t> 因公出国（境）经费预算安排为零，与上年度持平。</w:t>
      </w:r>
    </w:p>
    <w:p>
      <w:pPr>
        <w:pStyle w:val="4"/>
        <w:widowControl/>
        <w:spacing w:before="226" w:beforeAutospacing="0" w:afterAutospacing="0" w:line="576" w:lineRule="atLeast"/>
        <w:ind w:firstLine="64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bookmarkStart w:id="0" w:name="_GoBack"/>
      <w:bookmarkEnd w:id="0"/>
    </w:p>
    <w:sectPr>
      <w:pgSz w:w="11906" w:h="16838"/>
      <w:pgMar w:top="1157" w:right="1463" w:bottom="1157" w:left="146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D35F525"/>
    <w:multiLevelType w:val="singleLevel"/>
    <w:tmpl w:val="FD35F525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E2Njg4OGM5NDJkMDFhOTJiNmE4ZTlmNjViODQ4MDgifQ=="/>
  </w:docVars>
  <w:rsids>
    <w:rsidRoot w:val="007E3856"/>
    <w:rsid w:val="003512D3"/>
    <w:rsid w:val="003824E7"/>
    <w:rsid w:val="007A74CC"/>
    <w:rsid w:val="007E3856"/>
    <w:rsid w:val="008D6EBE"/>
    <w:rsid w:val="00D7366F"/>
    <w:rsid w:val="191F0348"/>
    <w:rsid w:val="1B0A08AC"/>
    <w:rsid w:val="27817AC9"/>
    <w:rsid w:val="312E12B2"/>
    <w:rsid w:val="5FD52F74"/>
    <w:rsid w:val="687C76D7"/>
    <w:rsid w:val="789A3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qFormat="1"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5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4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FollowedHyperlink"/>
    <w:basedOn w:val="6"/>
    <w:semiHidden/>
    <w:unhideWhenUsed/>
    <w:qFormat/>
    <w:uiPriority w:val="99"/>
    <w:rPr>
      <w:color w:val="333333"/>
      <w:u w:val="none"/>
    </w:rPr>
  </w:style>
  <w:style w:type="character" w:styleId="8">
    <w:name w:val="HTML Acronym"/>
    <w:basedOn w:val="6"/>
    <w:semiHidden/>
    <w:unhideWhenUsed/>
    <w:qFormat/>
    <w:uiPriority w:val="99"/>
  </w:style>
  <w:style w:type="character" w:styleId="9">
    <w:name w:val="Hyperlink"/>
    <w:basedOn w:val="6"/>
    <w:semiHidden/>
    <w:unhideWhenUsed/>
    <w:qFormat/>
    <w:uiPriority w:val="99"/>
    <w:rPr>
      <w:color w:val="333333"/>
      <w:u w:val="none"/>
    </w:rPr>
  </w:style>
  <w:style w:type="character" w:customStyle="1" w:styleId="10">
    <w:name w:val="search-keywords"/>
    <w:basedOn w:val="6"/>
    <w:autoRedefine/>
    <w:qFormat/>
    <w:uiPriority w:val="0"/>
    <w:rPr>
      <w:color w:val="FF0000"/>
    </w:rPr>
  </w:style>
  <w:style w:type="character" w:customStyle="1" w:styleId="11">
    <w:name w:val="button"/>
    <w:basedOn w:val="6"/>
    <w:qFormat/>
    <w:uiPriority w:val="0"/>
  </w:style>
  <w:style w:type="character" w:customStyle="1" w:styleId="12">
    <w:name w:val="tmpztreemove_arrow"/>
    <w:basedOn w:val="6"/>
    <w:qFormat/>
    <w:uiPriority w:val="0"/>
  </w:style>
  <w:style w:type="character" w:customStyle="1" w:styleId="13">
    <w:name w:val="hj-easyread-speakerprocesser-position-action-icon"/>
    <w:basedOn w:val="6"/>
    <w:autoRedefine/>
    <w:qFormat/>
    <w:uiPriority w:val="0"/>
  </w:style>
  <w:style w:type="character" w:customStyle="1" w:styleId="14">
    <w:name w:val="页眉 Char"/>
    <w:basedOn w:val="6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页脚 Char"/>
    <w:basedOn w:val="6"/>
    <w:link w:val="2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299</Words>
  <Characters>1707</Characters>
  <Lines>14</Lines>
  <Paragraphs>4</Paragraphs>
  <TotalTime>4</TotalTime>
  <ScaleCrop>false</ScaleCrop>
  <LinksUpToDate>false</LinksUpToDate>
  <CharactersWithSpaces>2002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2020-02-16T03:46:00Z</dcterms:created>
  <dc:creator>Microsoft</dc:creator>
  <cp:lastModifiedBy>Administrator</cp:lastModifiedBy>
  <dcterms:modified xsi:type="dcterms:W3CDTF">2024-02-23T04:04:59Z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DFE5155167C1418C9752A0A9B26FA23C</vt:lpwstr>
  </property>
</Properties>
</file>