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河池市水利局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color w:val="333333"/>
          <w:kern w:val="0"/>
          <w:sz w:val="32"/>
          <w:szCs w:val="32"/>
          <w:lang w:val="en-US" w:eastAsia="zh-CN" w:bidi="ar"/>
        </w:rPr>
        <w:t>2022年度部门决算“三公”经费情况说明</w:t>
      </w:r>
    </w:p>
    <w:tbl>
      <w:tblPr>
        <w:tblStyle w:val="2"/>
        <w:tblpPr w:leftFromText="180" w:rightFromText="180" w:vertAnchor="text" w:horzAnchor="page" w:tblpX="1274" w:tblpY="358"/>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9"/>
        <w:gridCol w:w="1079"/>
        <w:gridCol w:w="585"/>
        <w:gridCol w:w="855"/>
        <w:gridCol w:w="735"/>
        <w:gridCol w:w="780"/>
        <w:gridCol w:w="885"/>
        <w:gridCol w:w="870"/>
        <w:gridCol w:w="750"/>
        <w:gridCol w:w="705"/>
        <w:gridCol w:w="720"/>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9328" w:type="dxa"/>
            <w:gridSpan w:val="12"/>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河池市水利局2022年一般公共预算财政拨款“三公”经费支出决算表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89" w:type="dxa"/>
            <w:shd w:val="clear" w:color="auto" w:fill="auto"/>
            <w:vAlign w:val="center"/>
          </w:tcPr>
          <w:p>
            <w:pPr>
              <w:rPr>
                <w:rFonts w:hint="eastAsia" w:ascii="宋体" w:hAnsi="宋体" w:eastAsia="宋体" w:cs="宋体"/>
                <w:i w:val="0"/>
                <w:color w:val="000000"/>
                <w:sz w:val="22"/>
                <w:szCs w:val="22"/>
                <w:u w:val="none"/>
              </w:rPr>
            </w:pPr>
          </w:p>
        </w:tc>
        <w:tc>
          <w:tcPr>
            <w:tcW w:w="1079" w:type="dxa"/>
            <w:shd w:val="clear" w:color="auto" w:fill="auto"/>
            <w:vAlign w:val="center"/>
          </w:tcPr>
          <w:p>
            <w:pPr>
              <w:rPr>
                <w:rFonts w:hint="eastAsia" w:ascii="宋体" w:hAnsi="宋体" w:eastAsia="宋体" w:cs="宋体"/>
                <w:i w:val="0"/>
                <w:color w:val="000000"/>
                <w:sz w:val="18"/>
                <w:szCs w:val="18"/>
                <w:u w:val="none"/>
              </w:rPr>
            </w:pPr>
          </w:p>
        </w:tc>
        <w:tc>
          <w:tcPr>
            <w:tcW w:w="585" w:type="dxa"/>
            <w:shd w:val="clear" w:color="auto" w:fill="auto"/>
            <w:vAlign w:val="center"/>
          </w:tcPr>
          <w:p>
            <w:pPr>
              <w:rPr>
                <w:rFonts w:hint="eastAsia" w:ascii="宋体" w:hAnsi="宋体" w:eastAsia="宋体" w:cs="宋体"/>
                <w:i w:val="0"/>
                <w:color w:val="000000"/>
                <w:sz w:val="18"/>
                <w:szCs w:val="18"/>
                <w:u w:val="none"/>
              </w:rPr>
            </w:pPr>
          </w:p>
        </w:tc>
        <w:tc>
          <w:tcPr>
            <w:tcW w:w="855" w:type="dxa"/>
            <w:shd w:val="clear" w:color="auto" w:fill="auto"/>
            <w:vAlign w:val="center"/>
          </w:tcPr>
          <w:p>
            <w:pPr>
              <w:rPr>
                <w:rFonts w:hint="eastAsia" w:ascii="宋体" w:hAnsi="宋体" w:eastAsia="宋体" w:cs="宋体"/>
                <w:i w:val="0"/>
                <w:color w:val="000000"/>
                <w:sz w:val="18"/>
                <w:szCs w:val="18"/>
                <w:u w:val="none"/>
              </w:rPr>
            </w:pPr>
          </w:p>
        </w:tc>
        <w:tc>
          <w:tcPr>
            <w:tcW w:w="735" w:type="dxa"/>
            <w:shd w:val="clear" w:color="auto" w:fill="auto"/>
            <w:vAlign w:val="center"/>
          </w:tcPr>
          <w:p>
            <w:pPr>
              <w:rPr>
                <w:rFonts w:hint="eastAsia" w:ascii="宋体" w:hAnsi="宋体" w:eastAsia="宋体" w:cs="宋体"/>
                <w:i w:val="0"/>
                <w:color w:val="000000"/>
                <w:sz w:val="18"/>
                <w:szCs w:val="18"/>
                <w:u w:val="none"/>
              </w:rPr>
            </w:pPr>
          </w:p>
        </w:tc>
        <w:tc>
          <w:tcPr>
            <w:tcW w:w="780" w:type="dxa"/>
            <w:shd w:val="clear" w:color="auto" w:fill="auto"/>
            <w:vAlign w:val="center"/>
          </w:tcPr>
          <w:p>
            <w:pPr>
              <w:rPr>
                <w:rFonts w:hint="eastAsia" w:ascii="宋体" w:hAnsi="宋体" w:eastAsia="宋体" w:cs="宋体"/>
                <w:i w:val="0"/>
                <w:color w:val="000000"/>
                <w:sz w:val="18"/>
                <w:szCs w:val="18"/>
                <w:u w:val="none"/>
              </w:rPr>
            </w:pPr>
          </w:p>
        </w:tc>
        <w:tc>
          <w:tcPr>
            <w:tcW w:w="885" w:type="dxa"/>
            <w:shd w:val="clear" w:color="auto" w:fill="auto"/>
            <w:vAlign w:val="center"/>
          </w:tcPr>
          <w:p>
            <w:pPr>
              <w:rPr>
                <w:rFonts w:hint="eastAsia" w:ascii="宋体" w:hAnsi="宋体" w:eastAsia="宋体" w:cs="宋体"/>
                <w:i w:val="0"/>
                <w:color w:val="000000"/>
                <w:sz w:val="18"/>
                <w:szCs w:val="18"/>
                <w:u w:val="none"/>
              </w:rPr>
            </w:pPr>
          </w:p>
        </w:tc>
        <w:tc>
          <w:tcPr>
            <w:tcW w:w="870" w:type="dxa"/>
            <w:shd w:val="clear" w:color="auto" w:fill="auto"/>
            <w:vAlign w:val="center"/>
          </w:tcPr>
          <w:p>
            <w:pPr>
              <w:rPr>
                <w:rFonts w:hint="eastAsia" w:ascii="宋体" w:hAnsi="宋体" w:eastAsia="宋体" w:cs="宋体"/>
                <w:i w:val="0"/>
                <w:color w:val="000000"/>
                <w:sz w:val="18"/>
                <w:szCs w:val="18"/>
                <w:u w:val="none"/>
              </w:rPr>
            </w:pPr>
          </w:p>
        </w:tc>
        <w:tc>
          <w:tcPr>
            <w:tcW w:w="750" w:type="dxa"/>
            <w:shd w:val="clear" w:color="auto" w:fill="auto"/>
            <w:vAlign w:val="center"/>
          </w:tcPr>
          <w:p>
            <w:pPr>
              <w:rPr>
                <w:rFonts w:hint="eastAsia" w:ascii="宋体" w:hAnsi="宋体" w:eastAsia="宋体" w:cs="宋体"/>
                <w:i w:val="0"/>
                <w:color w:val="000000"/>
                <w:sz w:val="18"/>
                <w:szCs w:val="18"/>
                <w:u w:val="none"/>
              </w:rPr>
            </w:pPr>
          </w:p>
        </w:tc>
        <w:tc>
          <w:tcPr>
            <w:tcW w:w="705" w:type="dxa"/>
            <w:shd w:val="clear" w:color="auto" w:fill="auto"/>
            <w:vAlign w:val="center"/>
          </w:tcPr>
          <w:p>
            <w:pPr>
              <w:rPr>
                <w:rFonts w:hint="eastAsia" w:ascii="宋体" w:hAnsi="宋体" w:eastAsia="宋体" w:cs="宋体"/>
                <w:i w:val="0"/>
                <w:color w:val="000000"/>
                <w:sz w:val="18"/>
                <w:szCs w:val="18"/>
                <w:u w:val="none"/>
              </w:rPr>
            </w:pPr>
          </w:p>
        </w:tc>
        <w:tc>
          <w:tcPr>
            <w:tcW w:w="1395"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47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2022年度预算数</w:t>
            </w:r>
          </w:p>
        </w:tc>
        <w:tc>
          <w:tcPr>
            <w:tcW w:w="46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因公出国</w:t>
            </w:r>
          </w:p>
        </w:tc>
        <w:tc>
          <w:tcPr>
            <w:tcW w:w="2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公务用车购置及运行费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公务接</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因公出国</w:t>
            </w:r>
          </w:p>
        </w:tc>
        <w:tc>
          <w:tcPr>
            <w:tcW w:w="2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公务用车购置及运行费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（境）费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 购置费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公务用车运行费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待费</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（境）费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公务用车购置费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 运行费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4.73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0.73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4.73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trPr>
        <w:tc>
          <w:tcPr>
            <w:tcW w:w="9328" w:type="dxa"/>
            <w:gridSpan w:val="12"/>
            <w:tcBorders>
              <w:top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bl>
    <w:p>
      <w:pPr>
        <w:rPr>
          <w:rFonts w:hint="eastAsia"/>
          <w:lang w:val="en-US" w:eastAsia="zh-CN"/>
        </w:rPr>
      </w:pPr>
    </w:p>
    <w:p>
      <w:pPr>
        <w:rPr>
          <w:rFonts w:hint="eastAsia"/>
          <w:lang w:val="en-US" w:eastAsia="zh-CN"/>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2022年度一般公共预算财政拨款安排的“三公”经费支出</w:t>
      </w:r>
      <w:r>
        <w:rPr>
          <w:rFonts w:ascii="仿宋" w:hAnsi="仿宋" w:eastAsia="仿宋" w:cs="仿宋"/>
          <w:sz w:val="32"/>
          <w:szCs w:val="32"/>
          <w:highlight w:val="none"/>
        </w:rPr>
        <w:t>4.73</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100.00%</w:t>
      </w:r>
      <w:r>
        <w:rPr>
          <w:rFonts w:hint="eastAsia" w:ascii="仿宋" w:hAnsi="仿宋" w:eastAsia="仿宋" w:cs="仿宋"/>
          <w:sz w:val="32"/>
          <w:szCs w:val="32"/>
          <w:highlight w:val="none"/>
        </w:rPr>
        <w:t>，比上年</w:t>
      </w:r>
      <w:r>
        <w:rPr>
          <w:rFonts w:ascii="仿宋" w:hAnsi="仿宋" w:eastAsia="仿宋" w:cs="仿宋"/>
          <w:sz w:val="32"/>
          <w:szCs w:val="32"/>
          <w:highlight w:val="none"/>
        </w:rPr>
        <w:t>减少0.38</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主要原因是：我局严格按照“八项规定”落实三公经费支出，接待费有所减少。</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4.00</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0.73</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（一）因公出国（境）费支出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，比上年</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 xml:space="preserve"> 万元。</w:t>
      </w:r>
      <w:r>
        <w:rPr>
          <w:rFonts w:hint="eastAsia" w:ascii="仿宋" w:hAnsi="仿宋" w:eastAsia="仿宋" w:cs="仿宋"/>
          <w:color w:val="auto"/>
          <w:sz w:val="32"/>
          <w:szCs w:val="32"/>
          <w:highlight w:val="none"/>
          <w:lang w:val="en-US" w:eastAsia="zh-CN"/>
        </w:rPr>
        <w:t>原因是：</w:t>
      </w:r>
      <w:r>
        <w:rPr>
          <w:rFonts w:hint="eastAsia" w:ascii="仿宋" w:hAnsi="仿宋" w:eastAsia="仿宋" w:cs="仿宋"/>
          <w:color w:val="auto"/>
          <w:sz w:val="32"/>
          <w:szCs w:val="32"/>
          <w:highlight w:val="none"/>
          <w:lang w:eastAsia="zh-CN"/>
        </w:rPr>
        <w:t>我局无</w:t>
      </w:r>
      <w:r>
        <w:rPr>
          <w:rFonts w:hint="eastAsia" w:ascii="仿宋" w:hAnsi="仿宋" w:eastAsia="仿宋" w:cs="仿宋"/>
          <w:color w:val="auto"/>
          <w:sz w:val="32"/>
          <w:szCs w:val="32"/>
          <w:highlight w:val="none"/>
        </w:rPr>
        <w:t>因公出国</w:t>
      </w:r>
      <w:r>
        <w:rPr>
          <w:rFonts w:hint="eastAsia" w:ascii="仿宋" w:hAnsi="仿宋" w:eastAsia="仿宋" w:cs="仿宋"/>
          <w:color w:val="auto"/>
          <w:sz w:val="32"/>
          <w:szCs w:val="32"/>
          <w:highlight w:val="none"/>
          <w:lang w:eastAsia="zh-CN"/>
        </w:rPr>
        <w:t>计划。</w:t>
      </w:r>
      <w:r>
        <w:rPr>
          <w:rFonts w:hint="eastAsia" w:ascii="仿宋" w:hAnsi="仿宋" w:eastAsia="仿宋" w:cs="仿宋"/>
          <w:color w:val="auto"/>
          <w:sz w:val="32"/>
          <w:szCs w:val="32"/>
          <w:highlight w:val="none"/>
        </w:rPr>
        <w:t>全年因公出国（境）团组共计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个，累计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人次。</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（二）公务用车购置及运行费支出</w:t>
      </w:r>
      <w:r>
        <w:rPr>
          <w:rFonts w:ascii="仿宋" w:hAnsi="仿宋" w:eastAsia="仿宋" w:cs="仿宋"/>
          <w:sz w:val="32"/>
          <w:u w:color="auto"/>
        </w:rPr>
        <w:t>4.00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auto"/>
          <w:kern w:val="2"/>
          <w:sz w:val="32"/>
          <w:szCs w:val="32"/>
          <w:highlight w:val="none"/>
          <w:lang w:val="en-US" w:eastAsia="zh-CN" w:bidi="ar"/>
        </w:rPr>
        <w:t>原因是：我局无</w:t>
      </w:r>
      <w:r>
        <w:rPr>
          <w:rFonts w:hint="eastAsia" w:ascii="仿宋" w:hAnsi="仿宋" w:eastAsia="仿宋" w:cs="仿宋"/>
          <w:color w:val="auto"/>
          <w:sz w:val="32"/>
          <w:szCs w:val="32"/>
          <w:highlight w:val="none"/>
        </w:rPr>
        <w:t>公务用车购置</w:t>
      </w:r>
      <w:r>
        <w:rPr>
          <w:rFonts w:hint="eastAsia" w:ascii="仿宋" w:hAnsi="仿宋" w:eastAsia="仿宋" w:cs="仿宋"/>
          <w:color w:val="auto"/>
          <w:sz w:val="32"/>
          <w:szCs w:val="32"/>
          <w:highlight w:val="none"/>
          <w:lang w:eastAsia="zh-CN"/>
        </w:rPr>
        <w:t>计划</w:t>
      </w:r>
      <w:r>
        <w:rPr>
          <w:rFonts w:hint="eastAsia" w:ascii="仿宋" w:hAnsi="仿宋" w:eastAsia="仿宋" w:cs="仿宋"/>
          <w:color w:val="auto"/>
          <w:kern w:val="2"/>
          <w:sz w:val="32"/>
          <w:szCs w:val="32"/>
          <w:highlight w:val="none"/>
          <w:lang w:val="en-US" w:eastAsia="zh-CN" w:bidi="ar"/>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公务用车运行支出</w:t>
      </w:r>
      <w:r>
        <w:rPr>
          <w:rFonts w:ascii="仿宋" w:hAnsi="仿宋" w:eastAsia="仿宋" w:cs="仿宋"/>
          <w:sz w:val="32"/>
          <w:u w:color="auto"/>
        </w:rPr>
        <w:t>4.00</w:t>
      </w:r>
      <w:r>
        <w:rPr>
          <w:rFonts w:hint="eastAsia" w:ascii="仿宋" w:hAnsi="仿宋" w:eastAsia="仿宋" w:cs="仿宋"/>
          <w:sz w:val="32"/>
          <w:szCs w:val="32"/>
          <w:highlight w:val="none"/>
        </w:rPr>
        <w:t>万元，完成年初预算的</w:t>
      </w:r>
      <w:r>
        <w:rPr>
          <w:rFonts w:ascii="仿宋" w:hAnsi="仿宋" w:eastAsia="仿宋" w:cs="仿宋"/>
          <w:sz w:val="32"/>
          <w:u w:color="auto"/>
        </w:rPr>
        <w:t>100.00%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万元。2022年，</w:t>
      </w:r>
      <w:r>
        <w:rPr>
          <w:rFonts w:ascii="仿宋" w:hAnsi="仿宋" w:eastAsia="仿宋" w:cs="仿宋"/>
          <w:sz w:val="32"/>
          <w:u w:color="auto"/>
        </w:rPr>
        <w:t>河池市水利局(本级)</w:t>
      </w:r>
      <w:r>
        <w:rPr>
          <w:rFonts w:hint="eastAsia" w:ascii="仿宋" w:hAnsi="仿宋" w:eastAsia="仿宋" w:cs="仿宋"/>
          <w:sz w:val="32"/>
          <w:szCs w:val="32"/>
          <w:highlight w:val="none"/>
        </w:rPr>
        <w:t>及所属单位开支财政拨款的公务用车保有量为</w:t>
      </w:r>
      <w:r>
        <w:rPr>
          <w:rFonts w:ascii="仿宋" w:hAnsi="仿宋" w:eastAsia="仿宋" w:cs="仿宋"/>
          <w:sz w:val="32"/>
          <w:u w:color="auto"/>
        </w:rPr>
        <w:t>2</w:t>
      </w:r>
      <w:r>
        <w:rPr>
          <w:rFonts w:hint="eastAsia" w:ascii="仿宋" w:hAnsi="仿宋" w:eastAsia="仿宋" w:cs="仿宋"/>
          <w:sz w:val="32"/>
          <w:szCs w:val="32"/>
          <w:highlight w:val="none"/>
        </w:rPr>
        <w:t>辆，全年运行费支出</w:t>
      </w:r>
      <w:r>
        <w:rPr>
          <w:rFonts w:ascii="仿宋" w:hAnsi="仿宋" w:eastAsia="仿宋" w:cs="仿宋"/>
          <w:sz w:val="32"/>
          <w:u w:color="auto"/>
        </w:rPr>
        <w:t>4.00</w:t>
      </w:r>
      <w:r>
        <w:rPr>
          <w:rFonts w:hint="eastAsia" w:ascii="仿宋" w:hAnsi="仿宋" w:eastAsia="仿宋" w:cs="仿宋"/>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0.73</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100.00%</w:t>
      </w:r>
      <w:r>
        <w:rPr>
          <w:rFonts w:hint="eastAsia" w:ascii="仿宋" w:hAnsi="仿宋" w:eastAsia="仿宋" w:cs="仿宋"/>
          <w:sz w:val="32"/>
          <w:szCs w:val="32"/>
          <w:highlight w:val="none"/>
        </w:rPr>
        <w:t>， 比上年</w:t>
      </w:r>
      <w:r>
        <w:rPr>
          <w:rFonts w:ascii="仿宋" w:hAnsi="仿宋" w:eastAsia="仿宋" w:cs="仿宋"/>
          <w:sz w:val="32"/>
          <w:szCs w:val="32"/>
          <w:highlight w:val="none"/>
        </w:rPr>
        <w:t>减少0.38</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主要原因是：我局严格按照“八项规定”落实三公经费支出，接待费有所减少。</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8</w:t>
      </w:r>
      <w:r>
        <w:rPr>
          <w:rFonts w:hint="eastAsia" w:ascii="仿宋" w:hAnsi="仿宋" w:eastAsia="仿宋" w:cs="仿宋"/>
          <w:sz w:val="32"/>
          <w:szCs w:val="32"/>
          <w:highlight w:val="none"/>
        </w:rPr>
        <w:t>次，人次</w:t>
      </w:r>
      <w:r>
        <w:rPr>
          <w:rFonts w:ascii="仿宋" w:hAnsi="仿宋" w:eastAsia="仿宋" w:cs="仿宋"/>
          <w:sz w:val="32"/>
          <w:szCs w:val="32"/>
          <w:highlight w:val="none"/>
        </w:rPr>
        <w:t>83</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YTQ4NWM1ZDQ1OTZhNDVjOWQxNjU5NDIzNDFlYTAifQ=="/>
  </w:docVars>
  <w:rsids>
    <w:rsidRoot w:val="00000000"/>
    <w:rsid w:val="337E5C39"/>
    <w:rsid w:val="452326F6"/>
    <w:rsid w:val="5243137D"/>
    <w:rsid w:val="639C5E5E"/>
    <w:rsid w:val="723824B5"/>
    <w:rsid w:val="744A4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qFormat/>
    <w:uiPriority w:val="0"/>
    <w:rPr>
      <w:color w:val="333333"/>
      <w:u w:val="none"/>
    </w:rPr>
  </w:style>
  <w:style w:type="character" w:styleId="5">
    <w:name w:val="Hyperlink"/>
    <w:basedOn w:val="3"/>
    <w:qFormat/>
    <w:uiPriority w:val="0"/>
    <w:rPr>
      <w:color w:val="333333"/>
      <w:u w:val="none"/>
    </w:rPr>
  </w:style>
  <w:style w:type="character" w:customStyle="1" w:styleId="6">
    <w:name w:val="node_close"/>
    <w:basedOn w:val="3"/>
    <w:uiPriority w:val="0"/>
  </w:style>
  <w:style w:type="character" w:customStyle="1" w:styleId="7">
    <w:name w:val="tit"/>
    <w:basedOn w:val="3"/>
    <w:uiPriority w:val="0"/>
    <w:rPr>
      <w:color w:val="FFFFFF"/>
      <w:sz w:val="21"/>
      <w:szCs w:val="21"/>
    </w:rPr>
  </w:style>
  <w:style w:type="character" w:customStyle="1" w:styleId="8">
    <w:name w:val="tit1"/>
    <w:basedOn w:val="3"/>
    <w:uiPriority w:val="0"/>
    <w:rPr>
      <w:color w:val="FFFFFF"/>
      <w:sz w:val="21"/>
      <w:szCs w:val="21"/>
    </w:rPr>
  </w:style>
  <w:style w:type="character" w:customStyle="1" w:styleId="9">
    <w:name w:val="c"/>
    <w:basedOn w:val="3"/>
    <w:qFormat/>
    <w:uiPriority w:val="0"/>
    <w:rPr>
      <w:b/>
      <w:bdr w:val="single" w:color="CCCCCC" w:sz="2" w:space="0"/>
    </w:rPr>
  </w:style>
  <w:style w:type="character" w:customStyle="1" w:styleId="10">
    <w:name w:val="node"/>
    <w:basedOn w:val="3"/>
    <w:qFormat/>
    <w:uiPriority w:val="0"/>
  </w:style>
  <w:style w:type="paragraph" w:customStyle="1" w:styleId="11">
    <w:name w:val="Default"/>
    <w:next w:val="1"/>
    <w:unhideWhenUsed/>
    <w:qFormat/>
    <w:uiPriority w:val="99"/>
    <w:pPr>
      <w:widowControl w:val="0"/>
      <w:autoSpaceDE w:val="0"/>
      <w:autoSpaceDN w:val="0"/>
      <w:adjustRightInd w:val="0"/>
    </w:pPr>
    <w:rPr>
      <w:rFonts w:hint="eastAsia" w:ascii="楷体_GB2312" w:hAnsi="楷体_GB2312" w:eastAsia="楷体_GB2312"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sos</cp:lastModifiedBy>
  <dcterms:modified xsi:type="dcterms:W3CDTF">2023-09-22T02:07:36Z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012D71B916044521AF1556AEF81AB6C1_12</vt:lpwstr>
  </property>
</Properties>
</file>