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方正小标宋简体" w:eastAsia="方正小标宋简体"/>
          <w:sz w:val="36"/>
          <w:szCs w:val="36"/>
        </w:rPr>
      </w:pPr>
      <w:r>
        <w:rPr>
          <w:rFonts w:hint="eastAsia" w:ascii="方正小标宋简体" w:eastAsia="方正小标宋简体"/>
          <w:sz w:val="36"/>
          <w:szCs w:val="36"/>
        </w:rPr>
        <w:t>河池市应急管理局202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年度安全生产检查督查经费</w:t>
      </w:r>
    </w:p>
    <w:p>
      <w:pPr>
        <w:spacing w:line="540" w:lineRule="exact"/>
        <w:jc w:val="center"/>
        <w:rPr>
          <w:rFonts w:ascii="仿宋_GB2312" w:eastAsia="方正小标宋简体"/>
          <w:sz w:val="36"/>
          <w:szCs w:val="36"/>
        </w:rPr>
      </w:pPr>
      <w:r>
        <w:rPr>
          <w:rFonts w:hint="eastAsia" w:ascii="方正小标宋简体" w:eastAsia="方正小标宋简体"/>
          <w:sz w:val="36"/>
          <w:szCs w:val="36"/>
        </w:rPr>
        <w:t xml:space="preserve">绩效自评报告 </w:t>
      </w:r>
    </w:p>
    <w:p>
      <w:pPr>
        <w:spacing w:line="540" w:lineRule="exact"/>
        <w:rPr>
          <w:rFonts w:ascii="仿宋_GB2312" w:eastAsia="仿宋_GB2312"/>
          <w:sz w:val="32"/>
          <w:szCs w:val="32"/>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sz w:val="32"/>
          <w:szCs w:val="32"/>
        </w:rPr>
        <w:t>1.项目立项背景：根据《安全生产法》、《中共河池市委员会办公室 河池市人民政府办公室关于印发&lt;河池市应急管理局职能配置、内设机构和人员编制规定&gt;的通知》(</w:t>
      </w:r>
      <w:r>
        <w:rPr>
          <w:rFonts w:hint="eastAsia" w:ascii="仿宋_GB2312" w:hAnsi="仿宋_GB2312" w:eastAsia="仿宋_GB2312" w:cs="仿宋_GB2312"/>
          <w:color w:val="000000" w:themeColor="text1"/>
          <w:kern w:val="0"/>
          <w:sz w:val="32"/>
          <w:szCs w:val="32"/>
        </w:rPr>
        <w:t>河办发〔2019〕69 号)文件,河池市应急管理局职责：依法行使河池市安全生产综合监督管理职权，指导协调、监督检查河池市有关部门、驻河池中直区直单位和各县（区）人民政府安全生产工作，组织开展安全生产巡查、考核工作。</w:t>
      </w:r>
    </w:p>
    <w:p>
      <w:pPr>
        <w:spacing w:line="600" w:lineRule="exact"/>
        <w:ind w:firstLine="640" w:firstLineChars="200"/>
        <w:rPr>
          <w:rFonts w:ascii="仿宋_GB2312" w:eastAsia="仿宋_GB2312"/>
          <w:color w:val="000000" w:themeColor="text1"/>
          <w:sz w:val="32"/>
          <w:szCs w:val="32"/>
        </w:rPr>
      </w:pPr>
      <w:r>
        <w:rPr>
          <w:rFonts w:hint="eastAsia" w:ascii="仿宋_GB2312" w:hAnsi="仿宋_GB2312" w:eastAsia="仿宋_GB2312" w:cs="仿宋_GB2312"/>
          <w:color w:val="000000" w:themeColor="text1"/>
          <w:kern w:val="0"/>
          <w:sz w:val="32"/>
          <w:szCs w:val="32"/>
        </w:rPr>
        <w:t>2.</w:t>
      </w:r>
      <w:r>
        <w:rPr>
          <w:rFonts w:hint="eastAsia" w:ascii="仿宋_GB2312" w:eastAsia="仿宋_GB2312"/>
          <w:color w:val="000000" w:themeColor="text1"/>
          <w:sz w:val="32"/>
          <w:szCs w:val="32"/>
        </w:rPr>
        <w:t>资金用途及目的：</w:t>
      </w:r>
      <w:r>
        <w:rPr>
          <w:rFonts w:hint="eastAsia" w:ascii="仿宋_GB2312" w:hAnsi="仿宋_GB2312" w:eastAsia="仿宋_GB2312" w:cs="仿宋_GB2312"/>
          <w:color w:val="000000" w:themeColor="text1"/>
          <w:sz w:val="32"/>
          <w:szCs w:val="32"/>
        </w:rPr>
        <w:t>为落实安全生产责任制，坚决防止遏制安全事故，充分发挥安委办综合协调，指导监督职责，督促指导各行业监管部门尽职履责，全力防范压减生产安全事故，杜绝重特大生产安全事故发生，确保全市安全形势总体稳定。</w:t>
      </w:r>
    </w:p>
    <w:p>
      <w:pPr>
        <w:spacing w:line="600" w:lineRule="exact"/>
        <w:ind w:firstLine="640" w:firstLineChars="200"/>
        <w:rPr>
          <w:rFonts w:ascii="楷体_GB2312" w:hAnsi="仿宋_GB2312" w:eastAsia="楷体_GB2312" w:cs="宋体"/>
          <w:sz w:val="32"/>
          <w:szCs w:val="24"/>
          <w:shd w:val="clear" w:color="auto" w:fill="FFFFFF"/>
        </w:rPr>
      </w:pPr>
      <w:r>
        <w:rPr>
          <w:rFonts w:hint="eastAsia" w:ascii="楷体_GB2312" w:hAnsi="仿宋_GB2312" w:eastAsia="楷体_GB2312" w:cs="宋体"/>
          <w:sz w:val="32"/>
          <w:szCs w:val="24"/>
          <w:shd w:val="clear" w:color="auto" w:fill="FFFFFF"/>
        </w:rPr>
        <w:t xml:space="preserve">（二）项目资金管理使用情况 </w:t>
      </w:r>
    </w:p>
    <w:p>
      <w:pPr>
        <w:pStyle w:val="6"/>
        <w:widowControl/>
        <w:shd w:val="clear" w:color="auto" w:fill="FFFFFF"/>
        <w:spacing w:before="0" w:beforeAutospacing="0" w:after="0" w:afterAutospacing="0" w:line="600" w:lineRule="exact"/>
        <w:ind w:firstLine="640" w:firstLineChars="200"/>
        <w:jc w:val="both"/>
        <w:rPr>
          <w:rFonts w:hint="eastAsia" w:ascii="仿宋_GB2312" w:hAnsi="仿宋_GB2312" w:eastAsia="仿宋_GB2312" w:cs="宋体"/>
          <w:sz w:val="32"/>
          <w:szCs w:val="24"/>
          <w:shd w:val="clear" w:color="auto" w:fill="FFFFFF"/>
        </w:rPr>
      </w:pPr>
      <w:r>
        <w:rPr>
          <w:rFonts w:hint="eastAsia" w:ascii="仿宋_GB2312" w:eastAsia="仿宋_GB2312"/>
          <w:sz w:val="32"/>
          <w:szCs w:val="32"/>
        </w:rPr>
        <w:t>1.</w:t>
      </w:r>
      <w:r>
        <w:rPr>
          <w:rFonts w:hint="eastAsia" w:ascii="仿宋_GB2312" w:hAnsi="仿宋_GB2312" w:eastAsia="仿宋_GB2312" w:cs="宋体"/>
          <w:sz w:val="32"/>
          <w:szCs w:val="24"/>
          <w:shd w:val="clear" w:color="auto" w:fill="FFFFFF"/>
        </w:rPr>
        <w:t xml:space="preserve">项目资金（包括财政资金、自筹资金等）安排落实、总投入等情况 </w:t>
      </w:r>
    </w:p>
    <w:p>
      <w:pPr>
        <w:pStyle w:val="6"/>
        <w:widowControl/>
        <w:shd w:val="clear" w:color="auto" w:fill="FFFFFF"/>
        <w:spacing w:before="0" w:beforeAutospacing="0" w:after="0" w:afterAutospacing="0" w:line="600" w:lineRule="exact"/>
        <w:ind w:firstLine="640" w:firstLineChars="200"/>
        <w:jc w:val="both"/>
        <w:rPr>
          <w:rFonts w:ascii="仿宋_GB2312" w:hAnsi="仿宋_GB2312" w:eastAsia="仿宋_GB2312" w:cs="宋体"/>
          <w:sz w:val="32"/>
          <w:szCs w:val="18"/>
        </w:rPr>
      </w:pPr>
      <w:r>
        <w:rPr>
          <w:rFonts w:hint="eastAsia" w:ascii="仿宋_GB2312" w:hAnsi="仿宋_GB2312" w:eastAsia="仿宋_GB2312" w:cs="宋体"/>
          <w:sz w:val="32"/>
          <w:szCs w:val="24"/>
          <w:shd w:val="clear" w:color="auto" w:fill="FFFFFF"/>
        </w:rPr>
        <w:t>年初部门预算项目资金10万元，年内财政实际下达项目资金10万元。</w:t>
      </w:r>
    </w:p>
    <w:p>
      <w:pPr>
        <w:pStyle w:val="6"/>
        <w:widowControl/>
        <w:shd w:val="clear" w:color="auto" w:fill="FFFFFF"/>
        <w:spacing w:before="0" w:beforeAutospacing="0" w:after="0" w:afterAutospacing="0" w:line="600" w:lineRule="exact"/>
        <w:ind w:firstLine="640" w:firstLineChars="200"/>
        <w:jc w:val="both"/>
        <w:rPr>
          <w:rFonts w:hint="eastAsia" w:ascii="仿宋_GB2312" w:hAnsi="仿宋_GB2312" w:eastAsia="仿宋_GB2312" w:cs="宋体"/>
          <w:sz w:val="32"/>
          <w:szCs w:val="24"/>
          <w:shd w:val="clear" w:color="auto" w:fill="FFFFFF"/>
        </w:rPr>
      </w:pPr>
      <w:r>
        <w:rPr>
          <w:rFonts w:hint="eastAsia" w:ascii="仿宋_GB2312" w:hAnsi="仿宋_GB2312" w:eastAsia="仿宋_GB2312" w:cs="宋体"/>
          <w:sz w:val="32"/>
          <w:szCs w:val="24"/>
          <w:shd w:val="clear" w:color="auto" w:fill="FFFFFF"/>
        </w:rPr>
        <w:t xml:space="preserve">2.项目资金（主要是指财政资金）实际使用情况，包括项目主要内容和涉及范围  </w:t>
      </w:r>
    </w:p>
    <w:p>
      <w:pPr>
        <w:pStyle w:val="6"/>
        <w:widowControl/>
        <w:shd w:val="clear" w:color="auto" w:fill="FFFFFF"/>
        <w:spacing w:before="0" w:beforeAutospacing="0" w:after="0" w:afterAutospacing="0" w:line="600" w:lineRule="exact"/>
        <w:ind w:firstLine="640" w:firstLineChars="200"/>
        <w:jc w:val="both"/>
        <w:rPr>
          <w:rFonts w:ascii="仿宋_GB2312" w:hAnsi="仿宋_GB2312" w:eastAsia="仿宋_GB2312" w:cs="宋体"/>
          <w:color w:val="FF0000"/>
          <w:sz w:val="32"/>
          <w:szCs w:val="24"/>
          <w:shd w:val="clear" w:color="auto" w:fill="FFFFFF"/>
        </w:rPr>
      </w:pPr>
      <w:r>
        <w:rPr>
          <w:rFonts w:hint="eastAsia" w:ascii="仿宋_GB2312" w:hAnsi="仿宋_GB2312" w:eastAsia="仿宋_GB2312" w:cs="仿宋_GB2312"/>
          <w:color w:val="000000" w:themeColor="text1"/>
          <w:sz w:val="32"/>
          <w:szCs w:val="32"/>
        </w:rPr>
        <w:t>全年市安委办牵头组织有关市安委会成员单位开展安全生产检查和督查，产生差旅费7万元、车辆费3万元。</w:t>
      </w:r>
    </w:p>
    <w:p>
      <w:pPr>
        <w:pStyle w:val="6"/>
        <w:widowControl/>
        <w:shd w:val="clear" w:color="auto" w:fill="FFFFFF"/>
        <w:spacing w:before="0" w:beforeAutospacing="0" w:after="0" w:afterAutospacing="0" w:line="600" w:lineRule="exact"/>
        <w:ind w:firstLine="640" w:firstLineChars="200"/>
        <w:jc w:val="both"/>
        <w:rPr>
          <w:rFonts w:hint="eastAsia" w:ascii="仿宋_GB2312" w:hAnsi="仿宋_GB2312" w:eastAsia="仿宋_GB2312" w:cs="宋体"/>
          <w:sz w:val="32"/>
          <w:szCs w:val="24"/>
          <w:shd w:val="clear" w:color="auto" w:fill="FFFFFF"/>
        </w:rPr>
      </w:pPr>
      <w:r>
        <w:rPr>
          <w:rFonts w:hint="eastAsia" w:ascii="仿宋_GB2312" w:hAnsi="仿宋_GB2312" w:eastAsia="仿宋_GB2312" w:cs="宋体"/>
          <w:sz w:val="32"/>
          <w:szCs w:val="24"/>
          <w:shd w:val="clear" w:color="auto" w:fill="FFFFFF"/>
        </w:rPr>
        <w:t>3.项目资金管理情况</w:t>
      </w:r>
    </w:p>
    <w:p>
      <w:pPr>
        <w:pStyle w:val="6"/>
        <w:widowControl/>
        <w:shd w:val="clear" w:color="auto" w:fill="FFFFFF"/>
        <w:spacing w:before="0" w:beforeAutospacing="0" w:after="0" w:afterAutospacing="0" w:line="600" w:lineRule="exact"/>
        <w:ind w:firstLine="640" w:firstLineChars="200"/>
        <w:jc w:val="both"/>
        <w:rPr>
          <w:rFonts w:ascii="仿宋_GB2312" w:hAnsi="仿宋_GB2312" w:eastAsia="仿宋_GB2312" w:cs="宋体"/>
          <w:color w:val="FF0000"/>
          <w:sz w:val="32"/>
          <w:szCs w:val="24"/>
          <w:shd w:val="clear" w:color="auto" w:fill="FFFFFF"/>
        </w:rPr>
      </w:pPr>
      <w:r>
        <w:rPr>
          <w:rFonts w:hint="eastAsia" w:ascii="仿宋_GB2312" w:hAnsi="仿宋_GB2312" w:eastAsia="仿宋_GB2312" w:cs="宋体"/>
          <w:color w:val="000000"/>
          <w:sz w:val="32"/>
          <w:szCs w:val="24"/>
          <w:shd w:val="clear" w:color="auto" w:fill="FFFFFF"/>
        </w:rPr>
        <w:t>该项目资金按财务管理制度进行管理。</w:t>
      </w:r>
    </w:p>
    <w:p>
      <w:pPr>
        <w:spacing w:line="600" w:lineRule="exact"/>
        <w:ind w:firstLine="640" w:firstLineChars="200"/>
        <w:rPr>
          <w:rFonts w:hint="eastAsia" w:ascii="仿宋_GB2312" w:hAnsi="仿宋_GB2312" w:eastAsia="仿宋_GB2312" w:cs="宋体"/>
          <w:sz w:val="32"/>
          <w:szCs w:val="24"/>
          <w:shd w:val="clear" w:color="auto" w:fill="FFFFFF"/>
        </w:rPr>
      </w:pPr>
      <w:r>
        <w:rPr>
          <w:rFonts w:hint="eastAsia" w:ascii="仿宋_GB2312" w:hAnsi="仿宋_GB2312" w:eastAsia="仿宋_GB2312" w:cs="宋体"/>
          <w:sz w:val="32"/>
          <w:szCs w:val="24"/>
          <w:shd w:val="clear" w:color="auto" w:fill="FFFFFF"/>
        </w:rPr>
        <w:t>4.项目资金支出及拨付合规性情况</w:t>
      </w:r>
    </w:p>
    <w:p>
      <w:pPr>
        <w:pStyle w:val="3"/>
        <w:spacing w:line="500" w:lineRule="exact"/>
        <w:ind w:firstLine="640" w:firstLineChars="200"/>
        <w:rPr>
          <w:rFonts w:ascii="仿宋_GB2312" w:eastAsia="仿宋_GB2312"/>
          <w:sz w:val="32"/>
          <w:szCs w:val="32"/>
        </w:rPr>
      </w:pPr>
      <w:r>
        <w:rPr>
          <w:rFonts w:hint="eastAsia" w:ascii="仿宋_GB2312" w:eastAsia="仿宋_GB2312"/>
          <w:sz w:val="32"/>
          <w:szCs w:val="32"/>
        </w:rPr>
        <w:t>项目资金支出严格按照财务制度</w:t>
      </w:r>
      <w:r>
        <w:rPr>
          <w:rFonts w:hint="eastAsia" w:ascii="仿宋_GB2312" w:hAnsi="仿宋_GB2312" w:eastAsia="仿宋_GB2312" w:cs="宋体"/>
          <w:color w:val="000000"/>
          <w:sz w:val="32"/>
          <w:szCs w:val="32"/>
          <w:shd w:val="clear" w:color="auto" w:fill="FFFFFF"/>
        </w:rPr>
        <w:t>报账支出。</w:t>
      </w:r>
    </w:p>
    <w:p>
      <w:pPr>
        <w:pStyle w:val="2"/>
      </w:pPr>
    </w:p>
    <w:p>
      <w:pPr>
        <w:spacing w:line="600" w:lineRule="exact"/>
        <w:rPr>
          <w:rFonts w:ascii="楷体_GB2312" w:eastAsia="楷体_GB2312"/>
          <w:color w:val="000000" w:themeColor="text1"/>
          <w:sz w:val="32"/>
          <w:szCs w:val="32"/>
        </w:rPr>
      </w:pPr>
      <w:r>
        <w:rPr>
          <w:rFonts w:hint="eastAsia" w:ascii="仿宋_GB2312" w:hAnsi="仿宋_GB2312" w:eastAsia="仿宋_GB2312" w:cs="宋体"/>
          <w:color w:val="000000" w:themeColor="text1"/>
          <w:sz w:val="32"/>
          <w:szCs w:val="24"/>
          <w:shd w:val="clear" w:color="auto" w:fill="FFFFFF"/>
        </w:rPr>
        <w:t xml:space="preserve">  </w:t>
      </w:r>
      <w:r>
        <w:rPr>
          <w:rFonts w:hint="eastAsia" w:ascii="楷体_GB2312" w:eastAsia="楷体_GB2312"/>
          <w:color w:val="000000" w:themeColor="text1"/>
          <w:sz w:val="32"/>
          <w:szCs w:val="32"/>
        </w:rPr>
        <w:t xml:space="preserve">（三）年初绩效目标及其衡量指标设定情况 </w:t>
      </w:r>
    </w:p>
    <w:p>
      <w:pPr>
        <w:pStyle w:val="2"/>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为落实安全生产责任制，坚决防止遏制安全事故，充分发挥安委办综合协调，指导监督职责，督促指导各行业监管部门尽职履责，全力防范压减生产安全事故，杜绝重特大生产安全事故发生。202</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年全年市安委办牵头组织有关市安委会成员单位开展安全生产检查和督查20多次，预计产生较大的差旅费、车辆费等支出预计10万元。</w:t>
      </w:r>
    </w:p>
    <w:p>
      <w:pPr>
        <w:spacing w:line="60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二、项目评价工作开展情况</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月23日我局成立绩效评价工作组，龙照国局长任组长，成员有：陈继波副局长、综合协调科玉达聪科长、会计石剑山，采用成本效益法和比较法进行绩效评价，没有聘请专家组。评价组于202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月30日完成打分评价工作。</w:t>
      </w:r>
    </w:p>
    <w:p>
      <w:pPr>
        <w:spacing w:line="60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三、项目绩效情况</w:t>
      </w:r>
    </w:p>
    <w:p>
      <w:pPr>
        <w:spacing w:line="600" w:lineRule="exact"/>
        <w:ind w:firstLine="640" w:firstLineChars="200"/>
        <w:rPr>
          <w:rFonts w:ascii="楷体_GB2312" w:eastAsia="楷体_GB2312"/>
          <w:color w:val="000000" w:themeColor="text1"/>
          <w:sz w:val="32"/>
          <w:szCs w:val="32"/>
        </w:rPr>
      </w:pPr>
      <w:r>
        <w:rPr>
          <w:rFonts w:hint="eastAsia" w:ascii="楷体_GB2312" w:eastAsia="楷体_GB2312"/>
          <w:color w:val="000000" w:themeColor="text1"/>
          <w:sz w:val="32"/>
          <w:szCs w:val="32"/>
        </w:rPr>
        <w:t>（一）绩效目标完成情况</w:t>
      </w:r>
      <w:bookmarkStart w:id="0" w:name="_GoBack"/>
      <w:bookmarkEnd w:id="0"/>
    </w:p>
    <w:p>
      <w:pPr>
        <w:pStyle w:val="6"/>
        <w:widowControl/>
        <w:shd w:val="clear" w:color="auto" w:fill="FFFFFF"/>
        <w:spacing w:before="0" w:beforeAutospacing="0" w:after="0" w:afterAutospacing="0" w:line="600" w:lineRule="exact"/>
        <w:ind w:firstLine="640" w:firstLineChars="200"/>
        <w:jc w:val="both"/>
        <w:rPr>
          <w:rFonts w:ascii="仿宋_GB2312" w:eastAsia="仿宋_GB2312"/>
          <w:color w:val="000000" w:themeColor="text1"/>
          <w:sz w:val="32"/>
          <w:szCs w:val="32"/>
        </w:rPr>
      </w:pPr>
      <w:r>
        <w:rPr>
          <w:rFonts w:hint="eastAsia" w:ascii="仿宋_GB2312" w:eastAsia="仿宋_GB2312"/>
          <w:color w:val="000000" w:themeColor="text1"/>
          <w:sz w:val="32"/>
          <w:szCs w:val="32"/>
        </w:rPr>
        <w:t>1.产出数量：绩效目标数量是600日，实际完成数量是629日，完成率为104.83%，全部完成。</w:t>
      </w:r>
    </w:p>
    <w:p>
      <w:pPr>
        <w:pStyle w:val="6"/>
        <w:widowControl/>
        <w:shd w:val="clear" w:color="auto" w:fill="FFFFFF"/>
        <w:spacing w:before="0" w:beforeAutospacing="0" w:after="0" w:afterAutospacing="0" w:line="600" w:lineRule="exact"/>
        <w:ind w:firstLine="640" w:firstLineChars="200"/>
        <w:jc w:val="both"/>
        <w:rPr>
          <w:rFonts w:ascii="仿宋_GB2312" w:eastAsia="仿宋_GB2312"/>
          <w:color w:val="000000" w:themeColor="text1"/>
          <w:sz w:val="32"/>
          <w:szCs w:val="32"/>
        </w:rPr>
      </w:pPr>
      <w:r>
        <w:rPr>
          <w:rFonts w:hint="eastAsia" w:ascii="仿宋_GB2312" w:eastAsia="仿宋_GB2312"/>
          <w:color w:val="000000" w:themeColor="text1"/>
          <w:sz w:val="32"/>
          <w:szCs w:val="32"/>
        </w:rPr>
        <w:t>2.产出质量：绩效目标质量是防范化解重大风险，及时消除安全隐患、有效遏制生产安全事故。实际完成质量，全市安全生产形势持续稳定好转，2021年，各类生产安全事故事故起数、死亡人数、受伤人数，实现了“三下降“目标要求，未发生重大及以上生产安全事故。</w:t>
      </w:r>
    </w:p>
    <w:p>
      <w:pPr>
        <w:pStyle w:val="6"/>
        <w:widowControl/>
        <w:shd w:val="clear" w:color="auto" w:fill="FFFFFF"/>
        <w:spacing w:before="0" w:beforeAutospacing="0" w:after="0" w:afterAutospacing="0" w:line="600" w:lineRule="exact"/>
        <w:ind w:firstLine="640" w:firstLineChars="200"/>
        <w:jc w:val="both"/>
        <w:rPr>
          <w:rFonts w:ascii="仿宋_GB2312" w:eastAsia="仿宋_GB2312"/>
          <w:color w:val="000000" w:themeColor="text1"/>
          <w:sz w:val="32"/>
          <w:szCs w:val="32"/>
        </w:rPr>
      </w:pPr>
      <w:r>
        <w:rPr>
          <w:rFonts w:hint="eastAsia" w:ascii="仿宋_GB2312" w:eastAsia="仿宋_GB2312"/>
          <w:color w:val="000000" w:themeColor="text1"/>
          <w:sz w:val="32"/>
          <w:szCs w:val="32"/>
        </w:rPr>
        <w:t>3.产出时效：绩效目标是202</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年12月31日完成，实际完成时间是202</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年12月31日。</w:t>
      </w:r>
    </w:p>
    <w:p>
      <w:pPr>
        <w:pStyle w:val="6"/>
        <w:widowControl/>
        <w:shd w:val="clear" w:color="auto" w:fill="FFFFFF"/>
        <w:spacing w:before="0" w:beforeAutospacing="0" w:after="0" w:afterAutospacing="0" w:line="600" w:lineRule="exact"/>
        <w:ind w:firstLine="640" w:firstLineChars="200"/>
        <w:jc w:val="both"/>
        <w:rPr>
          <w:rFonts w:ascii="仿宋_GB2312" w:eastAsia="仿宋_GB2312"/>
          <w:color w:val="000000" w:themeColor="text1"/>
          <w:sz w:val="32"/>
          <w:szCs w:val="32"/>
        </w:rPr>
      </w:pPr>
      <w:r>
        <w:rPr>
          <w:rFonts w:hint="eastAsia" w:ascii="仿宋_GB2312" w:eastAsia="仿宋_GB2312"/>
          <w:color w:val="000000" w:themeColor="text1"/>
          <w:sz w:val="32"/>
          <w:szCs w:val="32"/>
        </w:rPr>
        <w:t>4.产出成本：项目预算支出是10万，实际支出或执行数额是10万，成本控制在预算内。</w:t>
      </w:r>
    </w:p>
    <w:p>
      <w:pPr>
        <w:spacing w:line="600" w:lineRule="exact"/>
        <w:ind w:firstLine="640" w:firstLineChars="200"/>
        <w:rPr>
          <w:rFonts w:ascii="楷体_GB2312" w:eastAsia="楷体_GB2312"/>
          <w:color w:val="000000" w:themeColor="text1"/>
          <w:sz w:val="32"/>
          <w:szCs w:val="32"/>
        </w:rPr>
      </w:pPr>
      <w:r>
        <w:rPr>
          <w:rFonts w:hint="eastAsia" w:ascii="楷体_GB2312" w:eastAsia="楷体_GB2312"/>
          <w:color w:val="000000" w:themeColor="text1"/>
          <w:sz w:val="32"/>
          <w:szCs w:val="32"/>
        </w:rPr>
        <w:t>（二）绩效分析</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olor w:val="000000" w:themeColor="text1"/>
          <w:sz w:val="32"/>
          <w:szCs w:val="32"/>
        </w:rPr>
        <w:t>产出数量范围覆盖全市11个县（市、区），完成综合监管检查工作629日；产出质量，</w:t>
      </w:r>
      <w:r>
        <w:rPr>
          <w:rFonts w:hint="eastAsia" w:ascii="仿宋_GB2312" w:eastAsia="仿宋_GB2312"/>
          <w:color w:val="000000" w:themeColor="text1"/>
          <w:sz w:val="32"/>
          <w:szCs w:val="32"/>
        </w:rPr>
        <w:t>2021年，各类生产安全事故</w:t>
      </w:r>
      <w:r>
        <w:rPr>
          <w:rFonts w:hint="eastAsia" w:ascii="仿宋_GB2312" w:hAnsi="仿宋_GB2312" w:eastAsia="仿宋_GB2312" w:cs="仿宋_GB2312"/>
          <w:color w:val="000000" w:themeColor="text1"/>
          <w:sz w:val="32"/>
          <w:szCs w:val="32"/>
        </w:rPr>
        <w:t>106起、死亡107人、受伤42人，同比分别下降27.89%、20.15%、47.50%</w:t>
      </w:r>
      <w:r>
        <w:rPr>
          <w:rFonts w:hint="eastAsia" w:ascii="仿宋_GB2312" w:eastAsia="仿宋_GB2312"/>
          <w:color w:val="000000" w:themeColor="text1"/>
          <w:sz w:val="32"/>
          <w:szCs w:val="32"/>
        </w:rPr>
        <w:t>，实现了“三下降“目标要求，未发生重大及以上生产安全事故，</w:t>
      </w:r>
      <w:r>
        <w:rPr>
          <w:rFonts w:hint="eastAsia" w:ascii="仿宋_GB2312" w:hAnsi="仿宋_GB2312" w:eastAsia="仿宋_GB2312" w:cs="仿宋_GB2312"/>
          <w:color w:val="000000" w:themeColor="text1"/>
          <w:sz w:val="32"/>
          <w:szCs w:val="32"/>
        </w:rPr>
        <w:t>全市安全生产形势总体稳定向好；</w:t>
      </w:r>
      <w:r>
        <w:rPr>
          <w:rFonts w:hint="eastAsia" w:ascii="仿宋" w:hAnsi="仿宋" w:eastAsia="仿宋"/>
          <w:color w:val="000000" w:themeColor="text1"/>
          <w:sz w:val="32"/>
          <w:szCs w:val="32"/>
        </w:rPr>
        <w:t>产出时效为202</w:t>
      </w:r>
      <w:r>
        <w:rPr>
          <w:rFonts w:hint="eastAsia" w:ascii="仿宋" w:hAnsi="仿宋" w:eastAsia="仿宋"/>
          <w:color w:val="000000" w:themeColor="text1"/>
          <w:sz w:val="32"/>
          <w:szCs w:val="32"/>
          <w:lang w:val="en-US" w:eastAsia="zh-CN"/>
        </w:rPr>
        <w:t>2</w:t>
      </w:r>
      <w:r>
        <w:rPr>
          <w:rFonts w:hint="eastAsia" w:ascii="仿宋" w:hAnsi="仿宋" w:eastAsia="仿宋"/>
          <w:color w:val="000000" w:themeColor="text1"/>
          <w:sz w:val="32"/>
          <w:szCs w:val="32"/>
        </w:rPr>
        <w:t>年1月1日至12月31日；产出成本含差旅费、车辆费等共10万元。自评总分100分，各项产出指标及效果指标均达到年初制订的标准，已完成绩效目标。</w:t>
      </w:r>
    </w:p>
    <w:p>
      <w:pPr>
        <w:spacing w:line="600" w:lineRule="exact"/>
        <w:ind w:firstLine="640" w:firstLineChars="200"/>
        <w:rPr>
          <w:rFonts w:ascii="楷体_GB2312" w:eastAsia="楷体_GB2312"/>
          <w:color w:val="000000" w:themeColor="text1"/>
          <w:sz w:val="32"/>
          <w:szCs w:val="32"/>
        </w:rPr>
      </w:pPr>
      <w:r>
        <w:rPr>
          <w:rFonts w:hint="eastAsia" w:ascii="楷体_GB2312" w:eastAsia="楷体_GB2312"/>
          <w:color w:val="000000" w:themeColor="text1"/>
          <w:sz w:val="32"/>
          <w:szCs w:val="32"/>
        </w:rPr>
        <w:t>（三）总体自我评价</w:t>
      </w:r>
    </w:p>
    <w:p>
      <w:pPr>
        <w:spacing w:line="600" w:lineRule="exact"/>
        <w:ind w:firstLine="640" w:firstLineChars="200"/>
        <w:rPr>
          <w:rFonts w:ascii="黑体" w:hAnsi="黑体" w:eastAsia="仿宋_GB2312"/>
          <w:color w:val="000000" w:themeColor="text1"/>
          <w:sz w:val="32"/>
          <w:szCs w:val="32"/>
        </w:rPr>
      </w:pPr>
      <w:r>
        <w:rPr>
          <w:rFonts w:hint="eastAsia" w:ascii="仿宋" w:hAnsi="仿宋" w:eastAsia="仿宋"/>
          <w:color w:val="000000" w:themeColor="text1"/>
          <w:sz w:val="32"/>
          <w:szCs w:val="32"/>
        </w:rPr>
        <w:t>全市安全形势持续稳定好转，</w:t>
      </w:r>
      <w:r>
        <w:rPr>
          <w:rFonts w:hint="eastAsia" w:ascii="仿宋_GB2312" w:hAnsi="仿宋_GB2312" w:eastAsia="仿宋_GB2312" w:cs="仿宋_GB2312"/>
          <w:color w:val="000000" w:themeColor="text1"/>
          <w:sz w:val="32"/>
          <w:szCs w:val="32"/>
        </w:rPr>
        <w:t>202</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年，全市发生各类生产安全事故106起，事故造成107人死亡、42人受伤，同比分别减少41起、27人和38人，分别下降27.89%、20.15%和47.50%，实现“三下降”，未发生重大及以上生产安全事故，已完成年初制定的绩效目标。</w:t>
      </w:r>
    </w:p>
    <w:p>
      <w:pPr>
        <w:spacing w:line="60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四、主要经验做法、存在的问题和原因分析</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通过项目实施，加强对各级各部门安全生产工作检查督查，推动了各级各部门</w:t>
      </w:r>
      <w:r>
        <w:rPr>
          <w:rFonts w:hint="eastAsia" w:ascii="仿宋_GB2312" w:hAnsi="仿宋_GB2312" w:eastAsia="仿宋_GB2312" w:cs="仿宋_GB2312"/>
          <w:color w:val="000000" w:themeColor="text1"/>
          <w:sz w:val="32"/>
          <w:szCs w:val="32"/>
        </w:rPr>
        <w:t>落实安全生产责任制，全力防范压减生产安全事故，杜绝重特大生产安全事故发生。突出抓好防范化解重大安全风险，强化工作措施，</w:t>
      </w:r>
      <w:r>
        <w:rPr>
          <w:rFonts w:hint="eastAsia" w:ascii="仿宋" w:hAnsi="仿宋" w:eastAsia="仿宋"/>
          <w:color w:val="000000" w:themeColor="text1"/>
          <w:sz w:val="32"/>
          <w:szCs w:val="32"/>
        </w:rPr>
        <w:t>促进全市安全生产形势持续稳定向好，</w:t>
      </w:r>
      <w:r>
        <w:rPr>
          <w:rFonts w:ascii="Times New Roman" w:hAnsi="Times New Roman" w:eastAsia="仿宋_GB2312"/>
          <w:color w:val="000000" w:themeColor="text1"/>
          <w:sz w:val="32"/>
          <w:szCs w:val="32"/>
        </w:rPr>
        <w:t>为经济社会持续健康发展创造更</w:t>
      </w:r>
      <w:r>
        <w:rPr>
          <w:rFonts w:hint="eastAsia" w:ascii="Times New Roman" w:hAnsi="Times New Roman" w:eastAsia="仿宋_GB2312"/>
          <w:color w:val="000000" w:themeColor="text1"/>
          <w:sz w:val="32"/>
          <w:szCs w:val="32"/>
        </w:rPr>
        <w:t>加</w:t>
      </w:r>
      <w:r>
        <w:rPr>
          <w:rFonts w:ascii="Times New Roman" w:hAnsi="Times New Roman" w:eastAsia="仿宋_GB2312"/>
          <w:color w:val="000000" w:themeColor="text1"/>
          <w:sz w:val="32"/>
          <w:szCs w:val="32"/>
        </w:rPr>
        <w:t>有利的社会环境</w:t>
      </w:r>
      <w:r>
        <w:rPr>
          <w:rFonts w:hint="eastAsia" w:ascii="仿宋" w:hAnsi="仿宋" w:eastAsia="仿宋"/>
          <w:color w:val="000000" w:themeColor="text1"/>
          <w:sz w:val="32"/>
          <w:szCs w:val="32"/>
        </w:rPr>
        <w:t>。</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但仍然存在一定问题，一是安全生产责任制落实仍有差距。部分县（区）和单位的领导思想认识不到位，重视程度不够，没有很好地落实安全监管责任，造成安全生产责任悬空。二是安全生产形势依然严峻。全市安全生产监管对象点多、面广、线长，监管难度大，群死群伤事故的风险仍然存在。</w:t>
      </w:r>
    </w:p>
    <w:p>
      <w:pPr>
        <w:spacing w:line="600" w:lineRule="exact"/>
        <w:ind w:firstLine="640" w:firstLineChars="200"/>
        <w:rPr>
          <w:rFonts w:ascii="仿宋_GB2312" w:eastAsia="仿宋_GB2312"/>
          <w:color w:val="000000" w:themeColor="text1"/>
          <w:kern w:val="0"/>
          <w:sz w:val="32"/>
          <w:szCs w:val="32"/>
          <w:highlight w:val="yellow"/>
        </w:rPr>
      </w:pPr>
      <w:r>
        <w:rPr>
          <w:rFonts w:hint="eastAsia" w:ascii="黑体" w:hAnsi="黑体" w:eastAsia="黑体"/>
          <w:color w:val="000000" w:themeColor="text1"/>
          <w:sz w:val="32"/>
          <w:szCs w:val="32"/>
        </w:rPr>
        <w:t>五、工作改进建议</w:t>
      </w:r>
    </w:p>
    <w:p>
      <w:pPr>
        <w:pStyle w:val="2"/>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继续推动安全生产责任制落实，坚持“党政同责、一岗双责、齐抓共管”工作责任制要求，抓好重大节假日，重点敏感时段的安全监管，严格督导检查，落实隐患排查治理。</w:t>
      </w:r>
      <w:r>
        <w:rPr>
          <w:rFonts w:hint="eastAsia" w:ascii="仿宋_GB2312" w:hAnsi="仿宋_GB2312" w:eastAsia="仿宋_GB2312" w:cs="仿宋_GB2312"/>
          <w:color w:val="000000" w:themeColor="text1"/>
          <w:kern w:val="2"/>
          <w:sz w:val="32"/>
          <w:szCs w:val="32"/>
        </w:rPr>
        <w:t>进一步强化安全风险管控措施，</w:t>
      </w:r>
      <w:r>
        <w:rPr>
          <w:rFonts w:hint="eastAsia" w:ascii="仿宋_GB2312" w:hAnsi="仿宋_GB2312" w:eastAsia="仿宋_GB2312" w:cs="仿宋_GB2312"/>
          <w:color w:val="000000" w:themeColor="text1"/>
          <w:sz w:val="32"/>
          <w:szCs w:val="32"/>
        </w:rPr>
        <w:t>汲取事故经验教训，强化监管和防范措施，全面彻底排查各类安全隐患，切实堵塞安全漏洞，整治消除一批安全隐患，坚决遏制重特大生产安全事故发生。</w:t>
      </w:r>
    </w:p>
    <w:p>
      <w:pPr>
        <w:pStyle w:val="3"/>
        <w:spacing w:line="600" w:lineRule="exact"/>
        <w:rPr>
          <w:rFonts w:ascii="仿宋_GB2312" w:hAnsi="仿宋_GB2312" w:eastAsia="仿宋_GB2312" w:cs="仿宋_GB2312"/>
          <w:color w:val="000000" w:themeColor="text1"/>
          <w:sz w:val="32"/>
          <w:szCs w:val="32"/>
        </w:rPr>
      </w:pP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E5MDk1ODlkYzI0OGE2NmJmMmI5YzljMGQyMzM1MTkifQ=="/>
  </w:docVars>
  <w:rsids>
    <w:rsidRoot w:val="62B42817"/>
    <w:rsid w:val="0001480A"/>
    <w:rsid w:val="000F09E1"/>
    <w:rsid w:val="0016508E"/>
    <w:rsid w:val="002D2D31"/>
    <w:rsid w:val="003842FC"/>
    <w:rsid w:val="00394210"/>
    <w:rsid w:val="00401066"/>
    <w:rsid w:val="005107D6"/>
    <w:rsid w:val="005C333D"/>
    <w:rsid w:val="006345A2"/>
    <w:rsid w:val="007E165A"/>
    <w:rsid w:val="00871E54"/>
    <w:rsid w:val="00AF5220"/>
    <w:rsid w:val="00D605ED"/>
    <w:rsid w:val="00E0567C"/>
    <w:rsid w:val="00EF1E84"/>
    <w:rsid w:val="034C7850"/>
    <w:rsid w:val="03F21FCB"/>
    <w:rsid w:val="05A67CDB"/>
    <w:rsid w:val="06712BB6"/>
    <w:rsid w:val="06D95036"/>
    <w:rsid w:val="124C0187"/>
    <w:rsid w:val="1C86077F"/>
    <w:rsid w:val="29133AFB"/>
    <w:rsid w:val="2ED56707"/>
    <w:rsid w:val="31D352F5"/>
    <w:rsid w:val="365509A7"/>
    <w:rsid w:val="3A3371FC"/>
    <w:rsid w:val="3DC06DA2"/>
    <w:rsid w:val="42442F35"/>
    <w:rsid w:val="49EE7450"/>
    <w:rsid w:val="5821442B"/>
    <w:rsid w:val="62B42817"/>
    <w:rsid w:val="767F439E"/>
    <w:rsid w:val="7B122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小标宋_GBK" w:hAnsi="Times New Roman" w:eastAsia="方正小标宋_GBK" w:cs="方正小标宋_GBK"/>
      <w:color w:val="000000"/>
      <w:sz w:val="24"/>
      <w:szCs w:val="24"/>
      <w:lang w:val="en-US" w:eastAsia="zh-CN" w:bidi="ar-SA"/>
    </w:rPr>
  </w:style>
  <w:style w:type="paragraph" w:styleId="3">
    <w:name w:val="footer"/>
    <w:basedOn w:val="1"/>
    <w:next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6"/>
    <w:basedOn w:val="1"/>
    <w:next w:val="1"/>
    <w:semiHidden/>
    <w:unhideWhenUsed/>
    <w:qFormat/>
    <w:uiPriority w:val="39"/>
    <w:pPr>
      <w:ind w:left="141" w:leftChars="67"/>
    </w:pPr>
    <w:rPr>
      <w:rFonts w:ascii="Times New Roman" w:hAnsi="Times New Roman" w:eastAsia="仿宋_GB2312"/>
      <w:sz w:val="32"/>
      <w:szCs w:val="32"/>
    </w:rPr>
  </w:style>
  <w:style w:type="paragraph" w:styleId="6">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4</Pages>
  <Words>296</Words>
  <Characters>1692</Characters>
  <Lines>14</Lines>
  <Paragraphs>3</Paragraphs>
  <TotalTime>22</TotalTime>
  <ScaleCrop>false</ScaleCrop>
  <LinksUpToDate>false</LinksUpToDate>
  <CharactersWithSpaces>1985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2023-08-02T07:28:42Z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