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附件1</w:t>
      </w:r>
    </w:p>
    <w:p>
      <w:pPr>
        <w:snapToGrid w:val="0"/>
        <w:spacing w:line="480" w:lineRule="auto"/>
        <w:jc w:val="center"/>
        <w:rPr>
          <w:rFonts w:eastAsia="黑体"/>
          <w:b/>
          <w:color w:val="000000"/>
          <w:sz w:val="52"/>
        </w:rPr>
      </w:pPr>
      <w:r>
        <w:rPr>
          <w:rFonts w:eastAsia="黑体"/>
          <w:color w:val="000000"/>
          <w:sz w:val="36"/>
          <w:szCs w:val="36"/>
        </w:rPr>
        <w:t>项目申报书</w:t>
      </w:r>
    </w:p>
    <w:tbl>
      <w:tblPr>
        <w:tblStyle w:val="7"/>
        <w:tblW w:w="96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5"/>
        <w:gridCol w:w="2205"/>
        <w:gridCol w:w="3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sz w:val="24"/>
              </w:rPr>
              <w:t>项目名称</w:t>
            </w:r>
          </w:p>
        </w:tc>
        <w:tc>
          <w:tcPr>
            <w:tcW w:w="5670" w:type="dxa"/>
            <w:gridSpan w:val="2"/>
            <w:noWrap w:val="0"/>
            <w:vAlign w:val="center"/>
          </w:tcPr>
          <w:p>
            <w:pPr>
              <w:snapToGrid w:val="0"/>
              <w:ind w:firstLine="360" w:firstLineChars="150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离退休干部党工委、老干部党校工作经费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sz w:val="24"/>
              </w:rPr>
              <w:t>项目属性</w:t>
            </w:r>
          </w:p>
        </w:tc>
        <w:tc>
          <w:tcPr>
            <w:tcW w:w="567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hint="default" w:ascii="Times New Roman" w:hAnsi="Times New Roman" w:eastAsia="仿宋" w:cs="Times New Roman"/>
                <w:color w:val="000000"/>
                <w:spacing w:val="2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 xml:space="preserve">1.新增项目    </w:t>
            </w:r>
            <w:r>
              <w:rPr>
                <w:rFonts w:hint="default" w:ascii="Times New Roman" w:hAnsi="Times New Roman" w:eastAsia="仿宋" w:cs="Times New Roman"/>
                <w:color w:val="000000"/>
                <w:spacing w:val="20"/>
                <w:sz w:val="24"/>
              </w:rPr>
              <w:t>2.业务工作项目</w:t>
            </w:r>
            <w:r>
              <w:rPr>
                <w:rFonts w:hint="default" w:ascii="Times New Roman" w:hAnsi="Times New Roman" w:eastAsia="仿宋" w:cs="Times New Roman"/>
                <w:color w:val="000000"/>
                <w:spacing w:val="20"/>
                <w:sz w:val="24"/>
                <w:lang w:eastAsia="zh-CN"/>
              </w:rPr>
              <w:t>☑</w:t>
            </w:r>
            <w:r>
              <w:rPr>
                <w:rFonts w:hint="default" w:ascii="Times New Roman" w:hAnsi="Times New Roman" w:eastAsia="仿宋" w:cs="Times New Roman"/>
                <w:color w:val="000000"/>
                <w:spacing w:val="20"/>
                <w:sz w:val="24"/>
              </w:rPr>
              <w:t xml:space="preserve">    </w:t>
            </w:r>
          </w:p>
          <w:p>
            <w:pPr>
              <w:spacing w:line="400" w:lineRule="exact"/>
              <w:rPr>
                <w:rFonts w:hint="default" w:ascii="Times New Roman" w:hAnsi="Times New Roman" w:eastAsia="仿宋" w:cs="Times New Roman"/>
                <w:color w:val="000000"/>
                <w:spacing w:val="2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pacing w:val="20"/>
                <w:sz w:val="24"/>
              </w:rPr>
              <w:t>3.运行维护项目4.专项资金目</w:t>
            </w:r>
          </w:p>
          <w:p>
            <w:pPr>
              <w:spacing w:line="400" w:lineRule="exact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pacing w:val="20"/>
                <w:sz w:val="24"/>
              </w:rPr>
              <w:t xml:space="preserve">5.转移支付项目　　　　　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项目总投资</w:t>
            </w:r>
          </w:p>
        </w:tc>
        <w:tc>
          <w:tcPr>
            <w:tcW w:w="5670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 xml:space="preserve">  　　　　　　  3万元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资金来源计划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金额</w:t>
            </w:r>
          </w:p>
        </w:tc>
        <w:tc>
          <w:tcPr>
            <w:tcW w:w="3465" w:type="dxa"/>
            <w:noWrap w:val="0"/>
            <w:vAlign w:val="center"/>
          </w:tcPr>
          <w:p>
            <w:pPr>
              <w:spacing w:line="360" w:lineRule="exact"/>
              <w:ind w:left="927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实施年限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一、财政安排资金合计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36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3万元</w:t>
            </w:r>
          </w:p>
        </w:tc>
        <w:tc>
          <w:tcPr>
            <w:tcW w:w="346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 xml:space="preserve">        202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1、上级财政补助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346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2、本级财政安排（一般预算支出）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36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3万元</w:t>
            </w:r>
          </w:p>
        </w:tc>
        <w:tc>
          <w:tcPr>
            <w:tcW w:w="346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 xml:space="preserve">        202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3、本级基金安排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346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4、非税收入安排（一般预算支出）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36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3465" w:type="dxa"/>
            <w:noWrap w:val="0"/>
            <w:vAlign w:val="center"/>
          </w:tcPr>
          <w:p>
            <w:pPr>
              <w:spacing w:line="360" w:lineRule="exact"/>
              <w:ind w:firstLine="960" w:firstLineChars="400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二、单位自筹资金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346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三、银行贷款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346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四、国债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346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五、其他资金投入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346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9" w:hRule="atLeast"/>
          <w:jc w:val="center"/>
        </w:trPr>
        <w:tc>
          <w:tcPr>
            <w:tcW w:w="397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/>
                <w:spacing w:val="5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pacing w:val="52"/>
                <w:sz w:val="24"/>
              </w:rPr>
              <w:t>项目主要内容及项目申请理由</w:t>
            </w:r>
          </w:p>
        </w:tc>
        <w:tc>
          <w:tcPr>
            <w:tcW w:w="5670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  <w:t>巩固离退休干部党员共享式阵地建设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eastAsia="zh-CN"/>
              </w:rPr>
              <w:t>。原因：全市设立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val="en-US" w:eastAsia="zh-CN"/>
              </w:rPr>
              <w:t>4个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eastAsia="zh-CN"/>
              </w:rPr>
              <w:t>共享式“金秋家园”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离退休干部党员活动阵地，各阵地设施还不够完善。按照“六有”标准，逐步完善这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4个阵地建设，把共享式活动阵地办成离退休干部接受党的教育的家园。</w:t>
            </w:r>
          </w:p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eastAsia="仿宋_GB2312" w:cs="Times New Roman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2.举办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eastAsia="zh-CN"/>
              </w:rPr>
              <w:t>全市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离退休干部党建工作业务培训班。原因：通过培训，不断增强离退休党员党性观念，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增强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离退休党员始终在思想上政治上行动上与党中央保持一致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不断提升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eastAsia="zh-CN"/>
              </w:rPr>
              <w:t>离退休干部党支部班子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val="en" w:eastAsia="zh-CN"/>
              </w:rPr>
              <w:t>的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eastAsia="zh-CN"/>
              </w:rPr>
              <w:t>履职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能力。</w:t>
            </w:r>
          </w:p>
          <w:p>
            <w:pPr>
              <w:spacing w:line="360" w:lineRule="exact"/>
              <w:ind w:firstLine="240" w:firstLineChars="10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3.开展离退休干部党建工作调研指导。原因：通过调研指导，了解、指导各级各单位离退休党建工作情况。</w:t>
            </w:r>
          </w:p>
          <w:p>
            <w:pPr>
              <w:spacing w:line="360" w:lineRule="exact"/>
              <w:ind w:firstLine="240" w:firstLineChars="10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4.办公用品采购。原因：工作需要。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9" w:hRule="atLeast"/>
          <w:jc w:val="center"/>
        </w:trPr>
        <w:tc>
          <w:tcPr>
            <w:tcW w:w="397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项目组织实施条件</w:t>
            </w:r>
          </w:p>
        </w:tc>
        <w:tc>
          <w:tcPr>
            <w:tcW w:w="5670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  <w:t>巩固离退休干部党员共享式阵地建设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2.举办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eastAsia="zh-CN"/>
              </w:rPr>
              <w:t>全市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离退休干部党建工作业务培训班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eastAsia="zh-CN"/>
              </w:rPr>
              <w:t>，约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val="en-US" w:eastAsia="zh-CN"/>
              </w:rPr>
              <w:t>150人参加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3.局领导分批到县（区）、市直有关单位开展离退休党建调研。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4.购买笔墨纸张等办公用品。</w:t>
            </w:r>
          </w:p>
        </w:tc>
      </w:tr>
    </w:tbl>
    <w:p>
      <w:pPr>
        <w:spacing w:line="300" w:lineRule="exact"/>
        <w:rPr>
          <w:rFonts w:hint="default" w:ascii="Times New Roman" w:hAnsi="Times New Roman" w:cs="Times New Roman"/>
          <w:b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000000"/>
          <w:sz w:val="28"/>
          <w:szCs w:val="28"/>
        </w:rPr>
        <w:t>附件2</w:t>
      </w:r>
    </w:p>
    <w:p>
      <w:pPr>
        <w:spacing w:line="600" w:lineRule="exact"/>
        <w:jc w:val="center"/>
        <w:rPr>
          <w:rFonts w:hint="default" w:ascii="Times New Roman" w:hAnsi="Times New Roman" w:cs="Times New Roman"/>
          <w:b/>
          <w:color w:val="000000"/>
          <w:sz w:val="36"/>
        </w:rPr>
      </w:pPr>
      <w:r>
        <w:rPr>
          <w:rFonts w:hint="default" w:ascii="Times New Roman" w:hAnsi="Times New Roman" w:cs="Times New Roman"/>
          <w:b/>
          <w:color w:val="000000"/>
          <w:sz w:val="36"/>
        </w:rPr>
        <w:t>项目支出预算明细表</w:t>
      </w:r>
    </w:p>
    <w:p>
      <w:pPr>
        <w:spacing w:line="300" w:lineRule="exact"/>
        <w:jc w:val="center"/>
        <w:rPr>
          <w:rFonts w:hint="default" w:ascii="Times New Roman" w:hAnsi="Times New Roman" w:eastAsia="仿宋" w:cs="Times New Roman"/>
          <w:color w:val="000000"/>
        </w:rPr>
      </w:pPr>
      <w:r>
        <w:rPr>
          <w:rFonts w:hint="default" w:ascii="Times New Roman" w:hAnsi="Times New Roman" w:cs="Times New Roman"/>
          <w:b/>
          <w:color w:val="000000"/>
          <w:sz w:val="44"/>
        </w:rPr>
        <w:t xml:space="preserve">                          </w:t>
      </w:r>
      <w:r>
        <w:rPr>
          <w:rFonts w:hint="default" w:ascii="Times New Roman" w:hAnsi="Times New Roman" w:cs="Times New Roman"/>
          <w:b/>
          <w:color w:val="000000"/>
          <w:sz w:val="28"/>
        </w:rPr>
        <w:t>单位：万元</w:t>
      </w:r>
      <w:r>
        <w:rPr>
          <w:rFonts w:hint="default" w:ascii="Times New Roman" w:hAnsi="Times New Roman" w:eastAsia="仿宋" w:cs="Times New Roman"/>
          <w:color w:val="000000"/>
        </w:rPr>
        <w:t xml:space="preserve">                        </w:t>
      </w:r>
      <w:r>
        <w:rPr>
          <w:rFonts w:hint="default" w:ascii="Times New Roman" w:hAnsi="Times New Roman" w:cs="Times New Roman"/>
          <w:color w:val="000000"/>
        </w:rPr>
        <w:t xml:space="preserve">                                          </w:t>
      </w:r>
    </w:p>
    <w:tbl>
      <w:tblPr>
        <w:tblStyle w:val="7"/>
        <w:tblW w:w="9501" w:type="dxa"/>
        <w:tblInd w:w="234" w:type="dxa"/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651"/>
        <w:gridCol w:w="6469"/>
        <w:gridCol w:w="1381"/>
      </w:tblGrid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500" w:hRule="exact"/>
        </w:trPr>
        <w:tc>
          <w:tcPr>
            <w:tcW w:w="16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项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目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支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出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明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细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sz w:val="24"/>
              </w:rPr>
              <w:t>支出明细项目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sz w:val="24"/>
              </w:rPr>
              <w:t>金  额</w:t>
            </w:r>
          </w:p>
        </w:tc>
      </w:tr>
      <w:tr>
        <w:trPr>
          <w:trHeight w:val="520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2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合 计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3万元</w:t>
            </w: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565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2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黑体" w:cs="Times New Roman"/>
                <w:color w:val="000000"/>
                <w:sz w:val="24"/>
                <w:lang w:val="en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</w:rPr>
              <w:t>一、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  <w:lang w:eastAsia="zh-CN"/>
              </w:rPr>
              <w:t>巩固离退休干部党员共享式阵地建设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黑体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</w:rPr>
              <w:t>0.</w:t>
            </w:r>
            <w:r>
              <w:rPr>
                <w:rFonts w:hint="eastAsia" w:eastAsia="黑体" w:cs="Times New Roman"/>
                <w:color w:val="000000"/>
                <w:sz w:val="24"/>
                <w:lang w:val="en-US" w:eastAsia="zh-CN"/>
              </w:rPr>
              <w:t>65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</w:rPr>
              <w:t>万元</w:t>
            </w:r>
          </w:p>
        </w:tc>
      </w:tr>
      <w:tr>
        <w:trPr>
          <w:trHeight w:val="1215" w:hRule="atLeas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2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eastAsia="zh-CN"/>
              </w:rPr>
              <w:t>巩固河池市老年大学、金城江街道广场社区、东风社区、河池革命纪念馆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4个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eastAsia="zh-CN"/>
              </w:rPr>
              <w:t>共享式阵地“金秋家园”建设，根据情况完善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阵地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eastAsia="zh-CN"/>
              </w:rPr>
              <w:t>费用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0.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65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万元。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0.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65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507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2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黑体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</w:rPr>
              <w:t>二、举办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  <w:lang w:eastAsia="zh-CN"/>
              </w:rPr>
              <w:t>全市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</w:rPr>
              <w:t>离退休干部党建工作业务培训班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黑体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</w:rPr>
              <w:t>1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  <w:lang w:val="en-US" w:eastAsia="zh-CN"/>
              </w:rPr>
              <w:t>.12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1243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2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 w:firstLineChars="200"/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印制培训资料预计0.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万元，购买笔、笔记本约0.1万元，授课费约0.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万元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eastAsia="zh-CN"/>
              </w:rPr>
              <w:t>，场地费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0.1万元，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县（区）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eastAsia="zh-CN"/>
              </w:rPr>
              <w:t>参会人员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约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人（餐费：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人*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0元*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餐=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7200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元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）。合计1.12万元。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黑体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.12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420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2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黑体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</w:rPr>
              <w:t>三、</w:t>
            </w:r>
            <w:r>
              <w:rPr>
                <w:rFonts w:hint="eastAsia" w:eastAsia="黑体" w:cs="Times New Roman"/>
                <w:color w:val="000000"/>
                <w:sz w:val="24"/>
                <w:lang w:eastAsia="zh-CN"/>
              </w:rPr>
              <w:t>到县（区）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</w:rPr>
              <w:t>开展离退休干部党建工作调研指导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lang w:val="en-US" w:eastAsia="zh-CN"/>
              </w:rPr>
              <w:t>0.559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420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2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开展调研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活动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住宿费、差旅费、过路费等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0.559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万元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0.559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420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2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黑体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</w:rPr>
              <w:t>四、办公用品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黑体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</w:rPr>
              <w:t>0.</w:t>
            </w:r>
            <w:r>
              <w:rPr>
                <w:rFonts w:hint="eastAsia" w:eastAsia="黑体" w:cs="Times New Roman"/>
                <w:color w:val="000000"/>
                <w:sz w:val="24"/>
                <w:lang w:val="en-US" w:eastAsia="zh-CN"/>
              </w:rPr>
              <w:t>67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959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2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打印纸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*230元=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3450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元、墨粉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*90元=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900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元、笔10*36元=360元、笔记本20*15元=300元，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档案盒10*20=200元，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沙发1500元，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合计0.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21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万元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黑体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0.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67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420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2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420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2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420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2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黑体" w:cs="Times New Roman"/>
                <w:b/>
                <w:color w:val="00000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黑体" w:cs="Times New Roman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420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2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150" w:hRule="atLeas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2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415" w:hRule="atLeast"/>
        </w:trPr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ind w:firstLine="481" w:firstLineChars="200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测</w:t>
            </w:r>
          </w:p>
          <w:p>
            <w:pPr>
              <w:spacing w:line="360" w:lineRule="exact"/>
              <w:ind w:firstLine="481" w:firstLineChars="200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算</w:t>
            </w:r>
          </w:p>
          <w:p>
            <w:pPr>
              <w:spacing w:line="360" w:lineRule="exact"/>
              <w:ind w:firstLine="481" w:firstLineChars="200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依</w:t>
            </w:r>
          </w:p>
          <w:p>
            <w:pPr>
              <w:spacing w:line="360" w:lineRule="exact"/>
              <w:ind w:firstLine="481" w:firstLineChars="200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据</w:t>
            </w:r>
          </w:p>
          <w:p>
            <w:pPr>
              <w:spacing w:line="360" w:lineRule="exact"/>
              <w:ind w:firstLine="481" w:firstLineChars="200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说</w:t>
            </w:r>
          </w:p>
          <w:p>
            <w:pPr>
              <w:spacing w:line="360" w:lineRule="exact"/>
              <w:ind w:firstLine="481" w:firstLineChars="200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明</w:t>
            </w:r>
          </w:p>
        </w:tc>
        <w:tc>
          <w:tcPr>
            <w:tcW w:w="7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240" w:firstLineChars="100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1.根据20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2</w:t>
            </w:r>
            <w:r>
              <w:rPr>
                <w:rFonts w:hint="eastAsia" w:eastAsia="仿宋_GB2312" w:cs="Times New Roman"/>
                <w:sz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年印制材料的价格、购买笔和笔记本的价格进行预算。</w:t>
            </w:r>
          </w:p>
          <w:p>
            <w:pPr>
              <w:ind w:firstLine="240" w:firstLineChars="10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2.根据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202</w:t>
            </w:r>
            <w:r>
              <w:rPr>
                <w:rFonts w:hint="eastAsia" w:eastAsia="仿宋_GB2312" w:cs="Times New Roman"/>
                <w:sz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年餐费、住宿费、材料印制费、场地费标准进行预算。</w:t>
            </w:r>
          </w:p>
          <w:p>
            <w:pPr>
              <w:ind w:firstLine="240" w:firstLineChars="10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3.按照出差差旅费标准进行预算。</w:t>
            </w:r>
          </w:p>
          <w:p>
            <w:pPr>
              <w:ind w:firstLine="240" w:firstLineChars="100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4.根据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202</w:t>
            </w:r>
            <w:r>
              <w:rPr>
                <w:rFonts w:hint="eastAsia" w:eastAsia="仿宋_GB2312" w:cs="Times New Roman"/>
                <w:sz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年打印纸、墨粉等的价格进行预算。</w:t>
            </w:r>
          </w:p>
        </w:tc>
      </w:tr>
    </w:tbl>
    <w:p>
      <w:pPr>
        <w:spacing w:line="480" w:lineRule="exact"/>
        <w:ind w:right="-178" w:rightChars="-85"/>
        <w:rPr>
          <w:rFonts w:hint="eastAsia" w:ascii="仿宋_GB2312" w:eastAsia="仿宋_GB2312"/>
          <w:color w:val="000000"/>
          <w:w w:val="90"/>
          <w:sz w:val="24"/>
        </w:rPr>
      </w:pPr>
    </w:p>
    <w:sectPr>
      <w:footerReference r:id="rId3" w:type="default"/>
      <w:footerReference r:id="rId4" w:type="even"/>
      <w:pgSz w:w="11906" w:h="16838"/>
      <w:pgMar w:top="1134" w:right="1134" w:bottom="1134" w:left="1134" w:header="851" w:footer="992" w:gutter="0"/>
      <w:pgNumType w:fmt="decimalFullWidt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  <w:rFonts w:hint="eastAsia"/>
      </w:rPr>
      <w:t>１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67495"/>
    <w:rsid w:val="000A636B"/>
    <w:rsid w:val="000E38C2"/>
    <w:rsid w:val="000F0A43"/>
    <w:rsid w:val="00103710"/>
    <w:rsid w:val="00175597"/>
    <w:rsid w:val="00180E8D"/>
    <w:rsid w:val="001A755D"/>
    <w:rsid w:val="001E0919"/>
    <w:rsid w:val="00202473"/>
    <w:rsid w:val="002055BF"/>
    <w:rsid w:val="00226889"/>
    <w:rsid w:val="002370D9"/>
    <w:rsid w:val="00251AEE"/>
    <w:rsid w:val="00254BFF"/>
    <w:rsid w:val="002C196E"/>
    <w:rsid w:val="002F7E8F"/>
    <w:rsid w:val="00312930"/>
    <w:rsid w:val="0032776C"/>
    <w:rsid w:val="00331B14"/>
    <w:rsid w:val="00334CC1"/>
    <w:rsid w:val="003547D9"/>
    <w:rsid w:val="003646F8"/>
    <w:rsid w:val="00370D67"/>
    <w:rsid w:val="003B497C"/>
    <w:rsid w:val="003C05A2"/>
    <w:rsid w:val="003D7D3B"/>
    <w:rsid w:val="003E5064"/>
    <w:rsid w:val="003E5081"/>
    <w:rsid w:val="00405ABC"/>
    <w:rsid w:val="00432E6F"/>
    <w:rsid w:val="00435CBF"/>
    <w:rsid w:val="00441676"/>
    <w:rsid w:val="004467AC"/>
    <w:rsid w:val="00471A36"/>
    <w:rsid w:val="00496927"/>
    <w:rsid w:val="004A21AE"/>
    <w:rsid w:val="004F007E"/>
    <w:rsid w:val="0050217B"/>
    <w:rsid w:val="005155D0"/>
    <w:rsid w:val="005A05E4"/>
    <w:rsid w:val="005C6484"/>
    <w:rsid w:val="005D0094"/>
    <w:rsid w:val="005E6922"/>
    <w:rsid w:val="005F42B3"/>
    <w:rsid w:val="00603EEA"/>
    <w:rsid w:val="00605D7F"/>
    <w:rsid w:val="006610FA"/>
    <w:rsid w:val="0068733A"/>
    <w:rsid w:val="00697515"/>
    <w:rsid w:val="006A5D59"/>
    <w:rsid w:val="006B24EF"/>
    <w:rsid w:val="006D1FFD"/>
    <w:rsid w:val="0072705E"/>
    <w:rsid w:val="0073355A"/>
    <w:rsid w:val="0073792E"/>
    <w:rsid w:val="00740912"/>
    <w:rsid w:val="007763E5"/>
    <w:rsid w:val="00780621"/>
    <w:rsid w:val="007806D0"/>
    <w:rsid w:val="007D3FEB"/>
    <w:rsid w:val="008446D4"/>
    <w:rsid w:val="008B5222"/>
    <w:rsid w:val="008B723F"/>
    <w:rsid w:val="008C505E"/>
    <w:rsid w:val="008E0765"/>
    <w:rsid w:val="008F53B2"/>
    <w:rsid w:val="009114DE"/>
    <w:rsid w:val="00933DCA"/>
    <w:rsid w:val="0094397E"/>
    <w:rsid w:val="0095003E"/>
    <w:rsid w:val="00954575"/>
    <w:rsid w:val="00986980"/>
    <w:rsid w:val="00986AE7"/>
    <w:rsid w:val="00990C97"/>
    <w:rsid w:val="009B0320"/>
    <w:rsid w:val="009B61F2"/>
    <w:rsid w:val="009C6E6F"/>
    <w:rsid w:val="009E2477"/>
    <w:rsid w:val="009E3D59"/>
    <w:rsid w:val="009F3E5B"/>
    <w:rsid w:val="009F57B2"/>
    <w:rsid w:val="00A028E0"/>
    <w:rsid w:val="00A059E3"/>
    <w:rsid w:val="00A335A4"/>
    <w:rsid w:val="00A36298"/>
    <w:rsid w:val="00A645D2"/>
    <w:rsid w:val="00A7419E"/>
    <w:rsid w:val="00A91C25"/>
    <w:rsid w:val="00AC06DA"/>
    <w:rsid w:val="00AC3BD7"/>
    <w:rsid w:val="00AE5130"/>
    <w:rsid w:val="00B233CA"/>
    <w:rsid w:val="00B42637"/>
    <w:rsid w:val="00B650EE"/>
    <w:rsid w:val="00B82863"/>
    <w:rsid w:val="00BA09FC"/>
    <w:rsid w:val="00BB7D85"/>
    <w:rsid w:val="00BC686A"/>
    <w:rsid w:val="00BD0B5B"/>
    <w:rsid w:val="00BE0E0E"/>
    <w:rsid w:val="00BF790D"/>
    <w:rsid w:val="00C077F6"/>
    <w:rsid w:val="00C37A56"/>
    <w:rsid w:val="00C6462E"/>
    <w:rsid w:val="00C77942"/>
    <w:rsid w:val="00C82C1D"/>
    <w:rsid w:val="00CB5CC2"/>
    <w:rsid w:val="00CC5F46"/>
    <w:rsid w:val="00CE1A36"/>
    <w:rsid w:val="00CE6230"/>
    <w:rsid w:val="00D03EDE"/>
    <w:rsid w:val="00D35667"/>
    <w:rsid w:val="00D57412"/>
    <w:rsid w:val="00DE689B"/>
    <w:rsid w:val="00DF07F2"/>
    <w:rsid w:val="00E06205"/>
    <w:rsid w:val="00E22EE2"/>
    <w:rsid w:val="00E250D2"/>
    <w:rsid w:val="00E27E76"/>
    <w:rsid w:val="00E33BFC"/>
    <w:rsid w:val="00E66C6E"/>
    <w:rsid w:val="00E7138D"/>
    <w:rsid w:val="00ED0BD0"/>
    <w:rsid w:val="00ED7776"/>
    <w:rsid w:val="00EF6FD2"/>
    <w:rsid w:val="00F036FE"/>
    <w:rsid w:val="00F07109"/>
    <w:rsid w:val="00F07596"/>
    <w:rsid w:val="00F0790E"/>
    <w:rsid w:val="00F07DC2"/>
    <w:rsid w:val="00F60BA4"/>
    <w:rsid w:val="00F71C7E"/>
    <w:rsid w:val="00F76D20"/>
    <w:rsid w:val="00F9363D"/>
    <w:rsid w:val="00FD0351"/>
    <w:rsid w:val="00FD260A"/>
    <w:rsid w:val="00FE7514"/>
    <w:rsid w:val="10AC027C"/>
    <w:rsid w:val="1E703CEC"/>
    <w:rsid w:val="1E7C7AFF"/>
    <w:rsid w:val="28281B8B"/>
    <w:rsid w:val="2F687FD5"/>
    <w:rsid w:val="457F6EC4"/>
    <w:rsid w:val="6199506B"/>
    <w:rsid w:val="644B5463"/>
    <w:rsid w:val="6DFD16EC"/>
    <w:rsid w:val="7FF7BDA5"/>
    <w:rsid w:val="AA8F2DC3"/>
    <w:rsid w:val="AF5714A9"/>
    <w:rsid w:val="BDFF1DDD"/>
    <w:rsid w:val="F1FEC0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semiHidden/>
    <w:qFormat/>
    <w:uiPriority w:val="0"/>
    <w:rPr>
      <w:rFonts w:ascii="宋体" w:hAnsi="Courier New"/>
      <w:szCs w:val="21"/>
    </w:rPr>
  </w:style>
  <w:style w:type="paragraph" w:styleId="3">
    <w:name w:val="Date"/>
    <w:basedOn w:val="1"/>
    <w:next w:val="1"/>
    <w:link w:val="1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00"/>
      <w:u w:val="none"/>
    </w:rPr>
  </w:style>
  <w:style w:type="character" w:customStyle="1" w:styleId="11">
    <w:name w:val=" Char Char1"/>
    <w:basedOn w:val="8"/>
    <w:link w:val="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2">
    <w:name w:val=" Char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197</Words>
  <Characters>1128</Characters>
  <Lines>9</Lines>
  <Paragraphs>2</Paragraphs>
  <TotalTime>34</TotalTime>
  <ScaleCrop>false</ScaleCrop>
  <LinksUpToDate>false</LinksUpToDate>
  <CharactersWithSpaces>1323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2019-10-18T00:47:00Z</dcterms:created>
  <dc:creator>雨林木风</dc:creator>
  <cp:lastModifiedBy>gxxc</cp:lastModifiedBy>
  <cp:lastPrinted>2020-09-26T01:49:00Z</cp:lastPrinted>
  <dcterms:modified xsi:type="dcterms:W3CDTF">2022-10-14T08:58:25Z</dcterms:modified>
  <dc:title>关于2013年市本级部门预算编制口径及申报格式的通知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