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outlineLvl w:val="0"/>
        <w:rPr>
          <w:rFonts w:hint="eastAsia" w:eastAsia="黑体"/>
          <w:b/>
          <w:color w:val="auto"/>
          <w:sz w:val="52"/>
          <w:lang w:val="en-US" w:eastAsia="zh-CN"/>
        </w:rPr>
      </w:pPr>
      <w:r>
        <w:rPr>
          <w:rFonts w:hint="eastAsia" w:eastAsia="黑体"/>
          <w:color w:val="auto"/>
          <w:sz w:val="36"/>
          <w:szCs w:val="36"/>
        </w:rPr>
        <w:t>项目申报书</w:t>
      </w:r>
      <w:r>
        <w:rPr>
          <w:rFonts w:hint="eastAsia" w:eastAsia="黑体"/>
          <w:color w:val="auto"/>
          <w:sz w:val="36"/>
          <w:szCs w:val="36"/>
          <w:lang w:val="en-US" w:eastAsia="zh-CN"/>
        </w:rPr>
        <w:t>1</w:t>
      </w:r>
    </w:p>
    <w:tbl>
      <w:tblPr>
        <w:tblStyle w:val="4"/>
        <w:tblW w:w="9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3722"/>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2464"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6852" w:type="dxa"/>
            <w:gridSpan w:val="2"/>
            <w:noWrap w:val="0"/>
            <w:vAlign w:val="center"/>
          </w:tcPr>
          <w:p>
            <w:pPr>
              <w:snapToGrid w:val="0"/>
              <w:rPr>
                <w:rFonts w:hint="eastAsia" w:ascii="宋体" w:hAnsi="宋体" w:cs="宋体"/>
                <w:color w:val="auto"/>
                <w:sz w:val="24"/>
              </w:rPr>
            </w:pPr>
            <w:r>
              <w:rPr>
                <w:rFonts w:hint="eastAsia" w:ascii="宋体" w:hAnsi="宋体" w:cs="宋体"/>
                <w:color w:val="auto"/>
                <w:sz w:val="24"/>
              </w:rPr>
              <w:t>木本粮油中心工作经费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2464"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项目属性</w:t>
            </w:r>
          </w:p>
        </w:tc>
        <w:tc>
          <w:tcPr>
            <w:tcW w:w="6852" w:type="dxa"/>
            <w:gridSpan w:val="2"/>
            <w:noWrap w:val="0"/>
            <w:vAlign w:val="center"/>
          </w:tcPr>
          <w:p>
            <w:pPr>
              <w:ind w:left="113"/>
              <w:rPr>
                <w:rFonts w:hint="eastAsia" w:ascii="宋体" w:hAnsi="宋体" w:cs="宋体"/>
                <w:color w:val="auto"/>
                <w:sz w:val="24"/>
              </w:rPr>
            </w:pPr>
            <w:r>
              <w:rPr>
                <w:rFonts w:hint="eastAsia" w:ascii="宋体" w:hAnsi="宋体" w:cs="宋体"/>
                <w:color w:val="auto"/>
                <w:sz w:val="24"/>
              </w:rPr>
              <w:t>1.新增项目</w:t>
            </w:r>
            <w:r>
              <w:rPr>
                <w:rFonts w:hint="eastAsia" w:ascii="MS Mincho" w:hAnsi="MS Mincho" w:eastAsia="宋体" w:cs="MS Mincho"/>
                <w:color w:val="auto"/>
                <w:spacing w:val="20"/>
                <w:sz w:val="24"/>
                <w:lang w:eastAsia="zh-CN"/>
              </w:rPr>
              <w:t>□</w:t>
            </w:r>
            <w:r>
              <w:rPr>
                <w:rFonts w:hint="eastAsia" w:ascii="宋体" w:hAnsi="宋体" w:cs="宋体"/>
                <w:color w:val="auto"/>
                <w:sz w:val="24"/>
              </w:rPr>
              <w:t xml:space="preserve">   </w:t>
            </w:r>
            <w:r>
              <w:rPr>
                <w:rFonts w:hint="eastAsia" w:ascii="宋体" w:hAnsi="宋体" w:cs="宋体"/>
                <w:color w:val="auto"/>
                <w:spacing w:val="20"/>
                <w:sz w:val="24"/>
              </w:rPr>
              <w:t>2.延续项目</w:t>
            </w:r>
            <w:r>
              <w:rPr>
                <w:rFonts w:hint="eastAsia" w:ascii="宋体" w:hAnsi="宋体" w:cs="宋体"/>
                <w:color w:val="auto"/>
                <w:spacing w:val="20"/>
                <w:sz w:val="24"/>
                <w:lang w:eastAsia="zh-CN"/>
              </w:rPr>
              <w:t>☑</w:t>
            </w:r>
            <w:r>
              <w:rPr>
                <w:rFonts w:hint="eastAsia" w:ascii="宋体" w:hAnsi="宋体" w:cs="宋体"/>
                <w:color w:val="auto"/>
                <w:spacing w:val="2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项目总投资</w:t>
            </w:r>
          </w:p>
        </w:tc>
        <w:tc>
          <w:tcPr>
            <w:tcW w:w="6852" w:type="dxa"/>
            <w:gridSpan w:val="2"/>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资金来源计划</w:t>
            </w:r>
          </w:p>
        </w:tc>
        <w:tc>
          <w:tcPr>
            <w:tcW w:w="3722"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金额</w:t>
            </w:r>
          </w:p>
        </w:tc>
        <w:tc>
          <w:tcPr>
            <w:tcW w:w="3130" w:type="dxa"/>
            <w:noWrap w:val="0"/>
            <w:vAlign w:val="center"/>
          </w:tcPr>
          <w:p>
            <w:pPr>
              <w:spacing w:line="440" w:lineRule="exact"/>
              <w:ind w:left="927"/>
              <w:rPr>
                <w:rFonts w:hint="eastAsia" w:ascii="宋体" w:hAnsi="宋体" w:cs="宋体"/>
                <w:color w:val="auto"/>
                <w:sz w:val="24"/>
              </w:rPr>
            </w:pPr>
            <w:r>
              <w:rPr>
                <w:rFonts w:hint="eastAsia" w:ascii="宋体" w:hAnsi="宋体" w:cs="宋体"/>
                <w:color w:val="auto"/>
                <w:sz w:val="24"/>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一、财政安排资金合计</w:t>
            </w:r>
          </w:p>
        </w:tc>
        <w:tc>
          <w:tcPr>
            <w:tcW w:w="372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1、上级财政补助</w:t>
            </w:r>
          </w:p>
        </w:tc>
        <w:tc>
          <w:tcPr>
            <w:tcW w:w="3722"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2、本级财政安排（一般预算支出）</w:t>
            </w:r>
          </w:p>
        </w:tc>
        <w:tc>
          <w:tcPr>
            <w:tcW w:w="372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c>
          <w:tcPr>
            <w:tcW w:w="3130" w:type="dxa"/>
            <w:noWrap w:val="0"/>
            <w:vAlign w:val="center"/>
          </w:tcPr>
          <w:p>
            <w:pPr>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3、本级基金安排</w:t>
            </w:r>
          </w:p>
        </w:tc>
        <w:tc>
          <w:tcPr>
            <w:tcW w:w="372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4、非税收入安排（一般预算支出）</w:t>
            </w:r>
          </w:p>
        </w:tc>
        <w:tc>
          <w:tcPr>
            <w:tcW w:w="372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p>
        </w:tc>
        <w:tc>
          <w:tcPr>
            <w:tcW w:w="3130" w:type="dxa"/>
            <w:noWrap w:val="0"/>
            <w:vAlign w:val="center"/>
          </w:tcPr>
          <w:p>
            <w:pPr>
              <w:spacing w:line="44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二、单位自筹资金</w:t>
            </w:r>
          </w:p>
        </w:tc>
        <w:tc>
          <w:tcPr>
            <w:tcW w:w="3722"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三、银行贷款</w:t>
            </w:r>
          </w:p>
        </w:tc>
        <w:tc>
          <w:tcPr>
            <w:tcW w:w="372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四、国债</w:t>
            </w:r>
          </w:p>
        </w:tc>
        <w:tc>
          <w:tcPr>
            <w:tcW w:w="372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246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五、其他资金投入</w:t>
            </w:r>
          </w:p>
        </w:tc>
        <w:tc>
          <w:tcPr>
            <w:tcW w:w="372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9" w:hRule="atLeast"/>
          <w:jc w:val="center"/>
        </w:trPr>
        <w:tc>
          <w:tcPr>
            <w:tcW w:w="2464" w:type="dxa"/>
            <w:tcBorders>
              <w:bottom w:val="single" w:color="auto" w:sz="4" w:space="0"/>
            </w:tcBorders>
            <w:noWrap w:val="0"/>
            <w:vAlign w:val="center"/>
          </w:tcPr>
          <w:p>
            <w:pPr>
              <w:jc w:val="center"/>
              <w:rPr>
                <w:rFonts w:hint="eastAsia" w:ascii="宋体" w:hAnsi="宋体" w:cs="宋体"/>
                <w:color w:val="auto"/>
                <w:spacing w:val="52"/>
                <w:sz w:val="24"/>
              </w:rPr>
            </w:pPr>
            <w:r>
              <w:rPr>
                <w:rFonts w:hint="eastAsia" w:ascii="宋体" w:hAnsi="宋体" w:cs="宋体"/>
                <w:color w:val="auto"/>
                <w:spacing w:val="52"/>
                <w:sz w:val="24"/>
              </w:rPr>
              <w:t>项目主要内容及项目申请理由</w:t>
            </w:r>
          </w:p>
        </w:tc>
        <w:tc>
          <w:tcPr>
            <w:tcW w:w="685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000000"/>
                <w:sz w:val="21"/>
                <w:szCs w:val="21"/>
              </w:rPr>
            </w:pPr>
            <w:r>
              <w:rPr>
                <w:rFonts w:hint="eastAsia" w:ascii="宋体" w:hAnsi="宋体" w:cs="宋体"/>
                <w:b/>
                <w:bCs/>
                <w:color w:val="000000"/>
                <w:sz w:val="21"/>
                <w:szCs w:val="21"/>
              </w:rPr>
              <w:t>项目主要内容：</w:t>
            </w:r>
            <w:r>
              <w:rPr>
                <w:rFonts w:hint="eastAsia" w:ascii="宋体" w:hAnsi="宋体" w:cs="宋体"/>
                <w:color w:val="000000"/>
                <w:sz w:val="21"/>
                <w:szCs w:val="21"/>
              </w:rPr>
              <w:t>组织对全市十一个县（区）市级开展核桃产业专项绩效考评检查1次，每次12人，考评检查4天；开展技术指导工作4次，每次11人，每次技术指导3天；木本粮油中心单位常规运转办公，采购办公耗材、设备等，支付水电费、印刷费、邮电费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lang w:val="en-US" w:eastAsia="zh-CN"/>
              </w:rPr>
            </w:pPr>
            <w:r>
              <w:rPr>
                <w:rFonts w:hint="eastAsia" w:ascii="宋体" w:hAnsi="宋体" w:cs="宋体"/>
                <w:b/>
                <w:bCs/>
                <w:color w:val="000000"/>
                <w:sz w:val="21"/>
                <w:szCs w:val="21"/>
              </w:rPr>
              <w:t>项目申请理由：</w:t>
            </w:r>
            <w:r>
              <w:rPr>
                <w:rFonts w:hint="eastAsia" w:ascii="宋体" w:hAnsi="宋体" w:cs="宋体"/>
                <w:color w:val="000000"/>
                <w:sz w:val="21"/>
                <w:szCs w:val="21"/>
              </w:rPr>
              <w:t>根据河办发〔2016〕21号、河办发〔2016〕71号、河办发〔2018〕70号，河池市核桃种植面积已完成260万亩，各县（区）历年种植的核桃陆续初花初果，产量逐步增加，西部凤山、天峨核桃产业已形成产量，经济效益逐步显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jc w:val="center"/>
        </w:trPr>
        <w:tc>
          <w:tcPr>
            <w:tcW w:w="2464" w:type="dxa"/>
            <w:tcBorders>
              <w:bottom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项目组织实施条件</w:t>
            </w:r>
          </w:p>
        </w:tc>
        <w:tc>
          <w:tcPr>
            <w:tcW w:w="685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auto"/>
              </w:rPr>
            </w:pPr>
            <w:r>
              <w:rPr>
                <w:rFonts w:hint="eastAsia" w:ascii="仿宋_GB2312"/>
                <w:sz w:val="21"/>
                <w:szCs w:val="21"/>
              </w:rPr>
              <w:t>河池市核桃产业发展局（含市林科院）核定编制45名，现有在职在编职工40人，其中具有高级专业技术职称</w:t>
            </w:r>
            <w:r>
              <w:rPr>
                <w:rFonts w:ascii="仿宋_GB2312"/>
                <w:sz w:val="21"/>
                <w:szCs w:val="21"/>
              </w:rPr>
              <w:t>2</w:t>
            </w:r>
            <w:r>
              <w:rPr>
                <w:rFonts w:hint="eastAsia" w:ascii="仿宋_GB2312"/>
                <w:sz w:val="21"/>
                <w:szCs w:val="21"/>
              </w:rPr>
              <w:t>人，中级职称12人，初级职称10人。是全国唯一的地级市核桃局，同时还聘请了国内有关核桃著名专家5人，全市11个县（区）的核桃局（办）有98名工作人员，有887名乡村级核桃技术员，技术力量雄厚。近年来，在岩溶地区泡核桃生产技术推广和科研方面，取得显著的成果，为</w:t>
            </w:r>
            <w:r>
              <w:rPr>
                <w:rFonts w:hint="eastAsia" w:ascii="宋体" w:hAnsi="宋体" w:cs="宋体"/>
                <w:sz w:val="21"/>
                <w:szCs w:val="21"/>
              </w:rPr>
              <w:t>建成华南地区最大的核桃产业基地奠定了坚实的基础。</w:t>
            </w:r>
          </w:p>
        </w:tc>
      </w:tr>
    </w:tbl>
    <w:p>
      <w:pPr>
        <w:rPr>
          <w:rFonts w:hint="eastAsia" w:ascii="宋体" w:hAnsi="宋体"/>
          <w:b/>
          <w:bCs/>
          <w:color w:val="auto"/>
          <w:sz w:val="28"/>
          <w:szCs w:val="28"/>
        </w:rPr>
      </w:pPr>
    </w:p>
    <w:p>
      <w:pPr>
        <w:jc w:val="center"/>
        <w:outlineLvl w:val="0"/>
        <w:rPr>
          <w:rFonts w:hint="eastAsia" w:ascii="黑体" w:hAnsi="黑体" w:eastAsia="黑体" w:cs="黑体"/>
          <w:bCs/>
          <w:color w:val="auto"/>
          <w:spacing w:val="-17"/>
          <w:sz w:val="36"/>
          <w:lang w:val="en-US" w:eastAsia="zh-CN"/>
        </w:rPr>
      </w:pPr>
      <w:r>
        <w:rPr>
          <w:rFonts w:hint="eastAsia" w:ascii="黑体" w:hAnsi="黑体" w:eastAsia="黑体" w:cs="黑体"/>
          <w:bCs/>
          <w:color w:val="auto"/>
          <w:spacing w:val="-17"/>
          <w:sz w:val="36"/>
          <w:szCs w:val="36"/>
        </w:rPr>
        <w:t>专项经费</w:t>
      </w:r>
      <w:r>
        <w:rPr>
          <w:rFonts w:hint="eastAsia" w:ascii="黑体" w:hAnsi="黑体" w:eastAsia="黑体" w:cs="黑体"/>
          <w:bCs/>
          <w:color w:val="auto"/>
          <w:spacing w:val="-17"/>
          <w:sz w:val="36"/>
        </w:rPr>
        <w:t>项目支出预算明细表</w:t>
      </w:r>
      <w:r>
        <w:rPr>
          <w:rFonts w:hint="eastAsia" w:ascii="黑体" w:hAnsi="黑体" w:eastAsia="黑体" w:cs="黑体"/>
          <w:bCs/>
          <w:color w:val="auto"/>
          <w:spacing w:val="-17"/>
          <w:sz w:val="36"/>
          <w:lang w:val="en-US" w:eastAsia="zh-CN"/>
        </w:rPr>
        <w:t>1</w:t>
      </w:r>
    </w:p>
    <w:p>
      <w:pPr>
        <w:jc w:val="center"/>
        <w:rPr>
          <w:rFonts w:hint="eastAsia" w:ascii="仿宋" w:hAnsi="宋体" w:eastAsia="仿宋"/>
          <w:color w:val="auto"/>
        </w:rPr>
      </w:pPr>
      <w:r>
        <w:rPr>
          <w:rFonts w:hint="eastAsia" w:ascii="仿宋_GB2312"/>
          <w:b/>
          <w:color w:val="auto"/>
          <w:sz w:val="44"/>
        </w:rPr>
        <w:t xml:space="preserve">                          </w:t>
      </w:r>
      <w:r>
        <w:rPr>
          <w:rFonts w:hint="eastAsia" w:ascii="仿宋_GB2312"/>
          <w:b/>
          <w:color w:val="auto"/>
          <w:sz w:val="28"/>
        </w:rPr>
        <w:t>单位：万元</w:t>
      </w:r>
      <w:r>
        <w:rPr>
          <w:rFonts w:hint="eastAsia" w:ascii="仿宋" w:hAnsi="宋体" w:eastAsia="仿宋"/>
          <w:color w:val="auto"/>
        </w:rPr>
        <w:t xml:space="preserve">     </w:t>
      </w:r>
    </w:p>
    <w:tbl>
      <w:tblPr>
        <w:tblStyle w:val="4"/>
        <w:tblW w:w="8327" w:type="dxa"/>
        <w:tblInd w:w="196" w:type="dxa"/>
        <w:tblLayout w:type="fixed"/>
        <w:tblCellMar>
          <w:top w:w="0" w:type="dxa"/>
          <w:left w:w="54" w:type="dxa"/>
          <w:bottom w:w="0" w:type="dxa"/>
          <w:right w:w="54" w:type="dxa"/>
        </w:tblCellMar>
      </w:tblPr>
      <w:tblGrid>
        <w:gridCol w:w="2198"/>
        <w:gridCol w:w="3614"/>
        <w:gridCol w:w="2515"/>
      </w:tblGrid>
      <w:tr>
        <w:tblPrEx>
          <w:tblLayout w:type="fixed"/>
          <w:tblCellMar>
            <w:top w:w="0" w:type="dxa"/>
            <w:left w:w="54" w:type="dxa"/>
            <w:bottom w:w="0" w:type="dxa"/>
            <w:right w:w="54" w:type="dxa"/>
          </w:tblCellMar>
        </w:tblPrEx>
        <w:trPr>
          <w:trHeight w:val="454" w:hRule="exact"/>
        </w:trPr>
        <w:tc>
          <w:tcPr>
            <w:tcW w:w="2198" w:type="dxa"/>
            <w:vMerge w:val="restart"/>
            <w:tcBorders>
              <w:top w:val="single" w:color="auto" w:sz="6" w:space="0"/>
              <w:left w:val="single" w:color="auto" w:sz="4" w:space="0"/>
              <w:right w:val="single" w:color="auto" w:sz="6" w:space="0"/>
            </w:tcBorders>
            <w:noWrap w:val="0"/>
            <w:vAlign w:val="top"/>
          </w:tcPr>
          <w:p>
            <w:pPr>
              <w:spacing w:line="320" w:lineRule="exact"/>
              <w:rPr>
                <w:rFonts w:hint="eastAsia" w:ascii="宋体" w:hAnsi="宋体" w:cs="宋体"/>
                <w:color w:val="auto"/>
                <w:sz w:val="24"/>
              </w:rPr>
            </w:pPr>
            <w:r>
              <w:rPr>
                <w:rFonts w:hint="eastAsia" w:ascii="宋体" w:hAnsi="宋体" w:cs="宋体"/>
                <w:color w:val="auto"/>
                <w:sz w:val="24"/>
              </w:rPr>
              <w:t xml:space="preserve">      项</w:t>
            </w:r>
          </w:p>
          <w:p>
            <w:pPr>
              <w:spacing w:line="320" w:lineRule="exact"/>
              <w:rPr>
                <w:rFonts w:hint="eastAsia" w:ascii="宋体" w:hAnsi="宋体" w:cs="宋体"/>
                <w:color w:val="auto"/>
                <w:sz w:val="24"/>
              </w:rPr>
            </w:pPr>
            <w:r>
              <w:rPr>
                <w:rFonts w:hint="eastAsia" w:ascii="宋体" w:hAnsi="宋体" w:cs="宋体"/>
                <w:color w:val="auto"/>
                <w:sz w:val="24"/>
              </w:rPr>
              <w:t xml:space="preserve">      目</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支</w:t>
            </w:r>
          </w:p>
          <w:p>
            <w:pPr>
              <w:spacing w:line="400" w:lineRule="exact"/>
              <w:rPr>
                <w:rFonts w:hint="eastAsia" w:ascii="宋体" w:hAnsi="宋体" w:cs="宋体"/>
                <w:color w:val="auto"/>
                <w:sz w:val="24"/>
              </w:rPr>
            </w:pPr>
            <w:r>
              <w:rPr>
                <w:rFonts w:hint="eastAsia" w:ascii="宋体" w:hAnsi="宋体" w:cs="宋体"/>
                <w:color w:val="auto"/>
                <w:sz w:val="24"/>
              </w:rPr>
              <w:t xml:space="preserve">      出</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明</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细</w:t>
            </w:r>
          </w:p>
          <w:p>
            <w:pPr>
              <w:spacing w:line="320" w:lineRule="exact"/>
              <w:rPr>
                <w:rFonts w:hint="eastAsia" w:ascii="宋体" w:hAnsi="宋体" w:cs="宋体"/>
                <w:color w:val="auto"/>
                <w:sz w:val="24"/>
              </w:rPr>
            </w:pPr>
            <w:r>
              <w:rPr>
                <w:rFonts w:hint="eastAsia" w:ascii="宋体" w:hAnsi="宋体" w:cs="宋体"/>
                <w:color w:val="auto"/>
                <w:sz w:val="24"/>
              </w:rPr>
              <w:t xml:space="preserve">   </w:t>
            </w:r>
          </w:p>
        </w:tc>
        <w:tc>
          <w:tcPr>
            <w:tcW w:w="3614" w:type="dxa"/>
            <w:tcBorders>
              <w:top w:val="single" w:color="auto" w:sz="6" w:space="0"/>
              <w:bottom w:val="single" w:color="auto" w:sz="6"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支出明细项目</w:t>
            </w:r>
          </w:p>
        </w:tc>
        <w:tc>
          <w:tcPr>
            <w:tcW w:w="2515"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840" w:firstLineChars="350"/>
              <w:jc w:val="center"/>
              <w:rPr>
                <w:rFonts w:hint="eastAsia" w:ascii="宋体" w:hAnsi="宋体" w:cs="宋体"/>
                <w:color w:val="auto"/>
                <w:sz w:val="24"/>
              </w:rPr>
            </w:pPr>
            <w:r>
              <w:rPr>
                <w:rFonts w:hint="eastAsia" w:ascii="宋体" w:hAnsi="宋体" w:cs="宋体"/>
                <w:color w:val="auto"/>
                <w:sz w:val="24"/>
              </w:rPr>
              <w:t>金       额</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3614" w:type="dxa"/>
            <w:tcBorders>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办公设备购置费</w:t>
            </w:r>
          </w:p>
        </w:tc>
        <w:tc>
          <w:tcPr>
            <w:tcW w:w="2515" w:type="dxa"/>
            <w:tcBorders>
              <w:top w:val="single" w:color="auto" w:sz="6" w:space="0"/>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1.6</w:t>
            </w:r>
          </w:p>
        </w:tc>
      </w:tr>
      <w:tr>
        <w:tblPrEx>
          <w:tblLayout w:type="fixed"/>
          <w:tblCellMar>
            <w:top w:w="0" w:type="dxa"/>
            <w:left w:w="54" w:type="dxa"/>
            <w:bottom w:w="0" w:type="dxa"/>
            <w:right w:w="54" w:type="dxa"/>
          </w:tblCellMar>
        </w:tblPrEx>
        <w:trPr>
          <w:trHeight w:val="709"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办公费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w:t>
            </w:r>
          </w:p>
        </w:tc>
      </w:tr>
      <w:tr>
        <w:tblPrEx>
          <w:tblLayout w:type="fixed"/>
          <w:tblCellMar>
            <w:top w:w="0" w:type="dxa"/>
            <w:left w:w="54" w:type="dxa"/>
            <w:bottom w:w="0" w:type="dxa"/>
            <w:right w:w="54" w:type="dxa"/>
          </w:tblCellMar>
        </w:tblPrEx>
        <w:trPr>
          <w:trHeight w:val="622"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印刷费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r>
      <w:tr>
        <w:tblPrEx>
          <w:tblLayout w:type="fixed"/>
          <w:tblCellMar>
            <w:top w:w="0" w:type="dxa"/>
            <w:left w:w="54" w:type="dxa"/>
            <w:bottom w:w="0" w:type="dxa"/>
            <w:right w:w="54" w:type="dxa"/>
          </w:tblCellMar>
        </w:tblPrEx>
        <w:trPr>
          <w:trHeight w:val="622"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eastAsia="zh-CN"/>
              </w:rPr>
            </w:pPr>
            <w:r>
              <w:rPr>
                <w:rFonts w:hint="eastAsia" w:ascii="宋体" w:hAnsi="宋体" w:cs="宋体"/>
                <w:color w:val="auto"/>
                <w:sz w:val="24"/>
                <w:lang w:eastAsia="zh-CN"/>
              </w:rPr>
              <w:t>接待费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水费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0.3</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电费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0.9</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差旅费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lang w:val="en-US" w:eastAsia="zh-CN"/>
              </w:rPr>
            </w:pPr>
            <w:r>
              <w:rPr>
                <w:rFonts w:hint="eastAsia" w:ascii="宋体" w:hAnsi="宋体" w:cs="宋体"/>
                <w:color w:val="auto"/>
                <w:sz w:val="24"/>
                <w:lang w:val="en-US" w:eastAsia="zh-CN"/>
              </w:rPr>
              <w:t>5.4</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邮电费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0.4</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eastAsia="zh-CN"/>
              </w:rPr>
            </w:pPr>
            <w:r>
              <w:rPr>
                <w:rFonts w:hint="eastAsia" w:ascii="宋体" w:hAnsi="宋体" w:cs="宋体"/>
                <w:color w:val="auto"/>
                <w:sz w:val="24"/>
                <w:lang w:eastAsia="zh-CN"/>
              </w:rPr>
              <w:t>维修费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r>
      <w:tr>
        <w:tblPrEx>
          <w:tblLayout w:type="fixed"/>
          <w:tblCellMar>
            <w:top w:w="0" w:type="dxa"/>
            <w:left w:w="54" w:type="dxa"/>
            <w:bottom w:w="0" w:type="dxa"/>
            <w:right w:w="54" w:type="dxa"/>
          </w:tblCellMar>
        </w:tblPrEx>
        <w:trPr>
          <w:trHeight w:val="6585" w:hRule="atLeast"/>
        </w:trPr>
        <w:tc>
          <w:tcPr>
            <w:tcW w:w="2198" w:type="dxa"/>
            <w:tcBorders>
              <w:top w:val="single" w:color="auto" w:sz="6"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测</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算</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依</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据</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及</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说</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明</w:t>
            </w:r>
          </w:p>
        </w:tc>
        <w:tc>
          <w:tcPr>
            <w:tcW w:w="612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s="宋体"/>
                <w:color w:val="auto"/>
                <w:sz w:val="24"/>
              </w:rPr>
              <w:t>一、单位常规运转办公费</w:t>
            </w:r>
            <w:r>
              <w:rPr>
                <w:rFonts w:hint="eastAsia" w:ascii="宋体" w:hAnsi="宋体" w:cs="宋体"/>
                <w:color w:val="auto"/>
                <w:sz w:val="24"/>
                <w:lang w:val="en-US" w:eastAsia="zh-CN"/>
              </w:rPr>
              <w:t>12.6</w:t>
            </w:r>
            <w:r>
              <w:rPr>
                <w:rFonts w:hint="eastAsia" w:ascii="宋体" w:hAnsi="宋体" w:cs="宋体"/>
                <w:color w:val="auto"/>
                <w:sz w:val="24"/>
              </w:rPr>
              <w:t>万元用于党建工作经费和购买办公耗材、办公用品、办公设备、专业杂志、党报党刊、资料打印等；二、绩效考评差旅费2万元用于市级组织开展核桃产业绩效考评检查1次，每次4天12人；三、技术指导差旅费</w:t>
            </w:r>
            <w:r>
              <w:rPr>
                <w:rFonts w:hint="eastAsia" w:ascii="宋体" w:hAnsi="宋体" w:cs="宋体"/>
                <w:color w:val="auto"/>
                <w:sz w:val="24"/>
                <w:lang w:val="en-US" w:eastAsia="zh-CN"/>
              </w:rPr>
              <w:t>3.4</w:t>
            </w:r>
            <w:r>
              <w:rPr>
                <w:rFonts w:hint="eastAsia" w:ascii="宋体" w:hAnsi="宋体" w:cs="宋体"/>
                <w:color w:val="auto"/>
                <w:sz w:val="24"/>
              </w:rPr>
              <w:t>万元用于开展技术指导工作4次，每次3天11人</w:t>
            </w:r>
            <w:r>
              <w:rPr>
                <w:rFonts w:hint="eastAsia" w:ascii="宋体" w:hAnsi="宋体" w:cs="宋体"/>
                <w:color w:val="auto"/>
                <w:sz w:val="24"/>
                <w:lang w:eastAsia="zh-CN"/>
              </w:rPr>
              <w:t>，四</w:t>
            </w:r>
            <w:r>
              <w:rPr>
                <w:rFonts w:hint="eastAsia" w:ascii="宋体" w:hAnsi="宋体" w:cs="宋体"/>
                <w:color w:val="auto"/>
                <w:sz w:val="24"/>
              </w:rPr>
              <w:t>、帮扶联系村环江县塘万村村委维修2万元。具体如下：①办公设备购置费1.6万元用于购买会议室桌椅、打印机和设备；②办公费5.9万元用于党建工作经费1万和购买办公耗材、办公用品、专业杂志、党报党刊4.9万元等；③接待费1.5万元；④印刷费2万元；⑤水费0.3万元；⑥电费0.9万元；⑦邮电费0.4万；⑧ 差旅费5.4万元用于绩效考评检查2万元和技术指导3.4万元。</w:t>
            </w:r>
          </w:p>
        </w:tc>
      </w:tr>
    </w:tbl>
    <w:p>
      <w:pPr>
        <w:pStyle w:val="2"/>
        <w:ind w:left="0" w:leftChars="0" w:firstLine="0" w:firstLineChars="0"/>
        <w:rPr>
          <w:rFonts w:hint="eastAsia"/>
        </w:rPr>
      </w:pPr>
    </w:p>
    <w:p>
      <w:pPr>
        <w:snapToGrid w:val="0"/>
        <w:spacing w:line="480" w:lineRule="auto"/>
        <w:jc w:val="center"/>
        <w:outlineLvl w:val="0"/>
        <w:rPr>
          <w:rFonts w:hint="eastAsia" w:eastAsia="黑体"/>
          <w:b/>
          <w:color w:val="auto"/>
          <w:sz w:val="52"/>
          <w:lang w:val="en-US" w:eastAsia="zh-CN"/>
        </w:rPr>
      </w:pPr>
      <w:r>
        <w:rPr>
          <w:rFonts w:hint="eastAsia" w:eastAsia="黑体"/>
          <w:color w:val="auto"/>
          <w:sz w:val="36"/>
          <w:szCs w:val="36"/>
        </w:rPr>
        <w:t>项目申报书</w:t>
      </w:r>
      <w:r>
        <w:rPr>
          <w:rFonts w:hint="eastAsia" w:eastAsia="黑体"/>
          <w:color w:val="auto"/>
          <w:sz w:val="36"/>
          <w:szCs w:val="36"/>
          <w:lang w:val="en-US" w:eastAsia="zh-CN"/>
        </w:rPr>
        <w:t>2</w:t>
      </w:r>
    </w:p>
    <w:tbl>
      <w:tblPr>
        <w:tblStyle w:val="4"/>
        <w:tblW w:w="9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2962"/>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3224"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6092" w:type="dxa"/>
            <w:gridSpan w:val="2"/>
            <w:noWrap w:val="0"/>
            <w:vAlign w:val="center"/>
          </w:tcPr>
          <w:p>
            <w:pPr>
              <w:snapToGrid w:val="0"/>
              <w:rPr>
                <w:rFonts w:hint="eastAsia" w:ascii="宋体" w:hAnsi="宋体" w:cs="宋体"/>
                <w:color w:val="auto"/>
                <w:sz w:val="24"/>
              </w:rPr>
            </w:pPr>
            <w:r>
              <w:rPr>
                <w:rFonts w:hint="eastAsia" w:ascii="宋体" w:hAnsi="宋体" w:cs="宋体"/>
                <w:color w:val="auto"/>
                <w:sz w:val="24"/>
              </w:rPr>
              <w:t>核桃产业发展工作经费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3224"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项目属性</w:t>
            </w:r>
          </w:p>
        </w:tc>
        <w:tc>
          <w:tcPr>
            <w:tcW w:w="6092" w:type="dxa"/>
            <w:gridSpan w:val="2"/>
            <w:noWrap w:val="0"/>
            <w:vAlign w:val="center"/>
          </w:tcPr>
          <w:p>
            <w:pPr>
              <w:ind w:left="113"/>
              <w:rPr>
                <w:rFonts w:hint="eastAsia" w:ascii="宋体" w:hAnsi="宋体" w:cs="宋体"/>
                <w:color w:val="auto"/>
                <w:sz w:val="24"/>
              </w:rPr>
            </w:pPr>
            <w:r>
              <w:rPr>
                <w:rFonts w:hint="eastAsia" w:ascii="宋体" w:hAnsi="宋体" w:cs="宋体"/>
                <w:color w:val="auto"/>
                <w:sz w:val="24"/>
              </w:rPr>
              <w:t>1.新增项目</w:t>
            </w:r>
            <w:r>
              <w:rPr>
                <w:rFonts w:hint="eastAsia" w:ascii="MS Mincho" w:hAnsi="MS Mincho" w:eastAsia="宋体" w:cs="MS Mincho"/>
                <w:color w:val="auto"/>
                <w:spacing w:val="20"/>
                <w:sz w:val="24"/>
                <w:lang w:eastAsia="zh-CN"/>
              </w:rPr>
              <w:t>□</w:t>
            </w:r>
            <w:r>
              <w:rPr>
                <w:rFonts w:hint="eastAsia" w:ascii="宋体" w:hAnsi="宋体" w:cs="宋体"/>
                <w:color w:val="auto"/>
                <w:sz w:val="24"/>
              </w:rPr>
              <w:t xml:space="preserve">   </w:t>
            </w:r>
            <w:r>
              <w:rPr>
                <w:rFonts w:hint="eastAsia" w:ascii="宋体" w:hAnsi="宋体" w:cs="宋体"/>
                <w:color w:val="auto"/>
                <w:spacing w:val="20"/>
                <w:sz w:val="24"/>
              </w:rPr>
              <w:t>2.延续项目</w:t>
            </w:r>
            <w:r>
              <w:rPr>
                <w:rFonts w:hint="eastAsia" w:ascii="宋体" w:hAnsi="宋体" w:cs="宋体"/>
                <w:color w:val="auto"/>
                <w:spacing w:val="20"/>
                <w:sz w:val="24"/>
                <w:lang w:eastAsia="zh-CN"/>
              </w:rPr>
              <w:t>☑</w:t>
            </w:r>
            <w:r>
              <w:rPr>
                <w:rFonts w:hint="eastAsia" w:ascii="宋体" w:hAnsi="宋体" w:cs="宋体"/>
                <w:color w:val="auto"/>
                <w:spacing w:val="2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项目总投资</w:t>
            </w:r>
          </w:p>
        </w:tc>
        <w:tc>
          <w:tcPr>
            <w:tcW w:w="6092" w:type="dxa"/>
            <w:gridSpan w:val="2"/>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资金来源计划</w:t>
            </w:r>
          </w:p>
        </w:tc>
        <w:tc>
          <w:tcPr>
            <w:tcW w:w="2962"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金额</w:t>
            </w:r>
          </w:p>
        </w:tc>
        <w:tc>
          <w:tcPr>
            <w:tcW w:w="3130" w:type="dxa"/>
            <w:noWrap w:val="0"/>
            <w:vAlign w:val="center"/>
          </w:tcPr>
          <w:p>
            <w:pPr>
              <w:spacing w:line="440" w:lineRule="exact"/>
              <w:ind w:left="927"/>
              <w:rPr>
                <w:rFonts w:hint="eastAsia" w:ascii="宋体" w:hAnsi="宋体" w:cs="宋体"/>
                <w:color w:val="auto"/>
                <w:sz w:val="24"/>
              </w:rPr>
            </w:pPr>
            <w:r>
              <w:rPr>
                <w:rFonts w:hint="eastAsia" w:ascii="宋体" w:hAnsi="宋体" w:cs="宋体"/>
                <w:color w:val="auto"/>
                <w:sz w:val="24"/>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一、财政安排资金合计</w:t>
            </w:r>
          </w:p>
        </w:tc>
        <w:tc>
          <w:tcPr>
            <w:tcW w:w="296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1、上级财政补助</w:t>
            </w:r>
          </w:p>
        </w:tc>
        <w:tc>
          <w:tcPr>
            <w:tcW w:w="2962"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2、本级财政安排（一般预算支出）</w:t>
            </w:r>
          </w:p>
        </w:tc>
        <w:tc>
          <w:tcPr>
            <w:tcW w:w="296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50</w:t>
            </w:r>
          </w:p>
        </w:tc>
        <w:tc>
          <w:tcPr>
            <w:tcW w:w="3130" w:type="dxa"/>
            <w:noWrap w:val="0"/>
            <w:vAlign w:val="center"/>
          </w:tcPr>
          <w:p>
            <w:pPr>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3、本级基金安排</w:t>
            </w:r>
          </w:p>
        </w:tc>
        <w:tc>
          <w:tcPr>
            <w:tcW w:w="2962"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4、非税收入安排（一般预算支出）</w:t>
            </w:r>
          </w:p>
        </w:tc>
        <w:tc>
          <w:tcPr>
            <w:tcW w:w="2962"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p>
        </w:tc>
        <w:tc>
          <w:tcPr>
            <w:tcW w:w="3130" w:type="dxa"/>
            <w:noWrap w:val="0"/>
            <w:vAlign w:val="center"/>
          </w:tcPr>
          <w:p>
            <w:pPr>
              <w:spacing w:line="44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二、单位自筹资金</w:t>
            </w:r>
          </w:p>
        </w:tc>
        <w:tc>
          <w:tcPr>
            <w:tcW w:w="2962"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三、银行贷款</w:t>
            </w:r>
          </w:p>
        </w:tc>
        <w:tc>
          <w:tcPr>
            <w:tcW w:w="296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四、国债</w:t>
            </w:r>
          </w:p>
        </w:tc>
        <w:tc>
          <w:tcPr>
            <w:tcW w:w="296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3224"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五、其他资金投入</w:t>
            </w:r>
          </w:p>
        </w:tc>
        <w:tc>
          <w:tcPr>
            <w:tcW w:w="2962"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9" w:hRule="atLeast"/>
          <w:jc w:val="center"/>
        </w:trPr>
        <w:tc>
          <w:tcPr>
            <w:tcW w:w="3224" w:type="dxa"/>
            <w:tcBorders>
              <w:bottom w:val="single" w:color="auto" w:sz="4" w:space="0"/>
            </w:tcBorders>
            <w:noWrap w:val="0"/>
            <w:vAlign w:val="center"/>
          </w:tcPr>
          <w:p>
            <w:pPr>
              <w:jc w:val="center"/>
              <w:rPr>
                <w:rFonts w:hint="eastAsia" w:ascii="宋体" w:hAnsi="宋体" w:cs="宋体"/>
                <w:color w:val="auto"/>
                <w:spacing w:val="52"/>
                <w:sz w:val="24"/>
              </w:rPr>
            </w:pPr>
            <w:r>
              <w:rPr>
                <w:rFonts w:hint="eastAsia" w:ascii="宋体" w:hAnsi="宋体" w:cs="宋体"/>
                <w:color w:val="auto"/>
                <w:spacing w:val="52"/>
                <w:sz w:val="24"/>
              </w:rPr>
              <w:t>项目主要内容及项目申请理由</w:t>
            </w:r>
          </w:p>
        </w:tc>
        <w:tc>
          <w:tcPr>
            <w:tcW w:w="60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项目主要内容：河池市核桃种植面积已发展到260万亩，分布在11个县（区）、138个乡镇、1556个村（社区），涉及核桃种植农户37.617万户，人口142.9万人 。市委、市人民政府要求开展核桃提质增效工作，升级核桃产业，到2025年要实现如下目标：全市核桃总面积发展到300万亩，投产面积80万亩，产量6万吨，产值20亿元，核桃产业发展覆盖农户50%以上。全市30万亩“万千百”核桃高产栽培示范基地80%投产，产量2.7万吨，产值9亿元，力争将河池打造成华南最大的食用木本油料及果品生产基地。要求从巩固现有面积，逐步发展新种面积；坚持示范带动，突出抓好管护；建立良种繁育基地，开展核桃品种选育；强化核桃深加工，提高产品附加值，强化科技支撑，打造河池核桃公共品牌等5个方面开展工作。</w:t>
            </w:r>
            <w:r>
              <w:rPr>
                <w:rFonts w:hint="eastAsia" w:ascii="宋体" w:hAnsi="宋体"/>
                <w:b w:val="0"/>
                <w:bCs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lang w:val="en-US" w:eastAsia="zh-CN"/>
              </w:rPr>
            </w:pPr>
            <w:r>
              <w:rPr>
                <w:rFonts w:hint="eastAsia" w:ascii="宋体" w:hAnsi="宋体" w:cs="宋体"/>
                <w:b w:val="0"/>
                <w:bCs w:val="0"/>
                <w:color w:val="auto"/>
                <w:sz w:val="24"/>
                <w:szCs w:val="24"/>
              </w:rPr>
              <w:t>项目申请理由</w:t>
            </w:r>
            <w:r>
              <w:rPr>
                <w:rFonts w:hint="eastAsia" w:ascii="宋体" w:hAnsi="宋体"/>
                <w:color w:val="000000"/>
                <w:sz w:val="21"/>
              </w:rPr>
              <w:t>根据《河池市推进“十大百万”扶贫产业提质增效实施意见（2018－2025年）的通知》（河办发〔2018〕70号）、《关于印发河池市核桃扶贫产业提质增效工作实施方案（2018-2025年）的通知》（河办发〔2018〕102号）、《关于河池市核桃优良品种选育项目立项相关事项的批复》（河政函〔2018〕313号）合作共建西北农林科技大学河池市核桃试验工作站协议等文件精神，市委、市人民政府要求开展核桃提质增效工作，升级核桃产业，到 2025 年要实现全市核桃总面积发展到300万亩，投产面积80万亩，产量6万吨，产值20亿元。力争将河池打造成华南最大的食用木本油料及果品生产基地。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jc w:val="center"/>
        </w:trPr>
        <w:tc>
          <w:tcPr>
            <w:tcW w:w="3224" w:type="dxa"/>
            <w:tcBorders>
              <w:bottom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项目组织实施条件</w:t>
            </w:r>
          </w:p>
        </w:tc>
        <w:tc>
          <w:tcPr>
            <w:tcW w:w="609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rPr>
            </w:pPr>
            <w:r>
              <w:rPr>
                <w:rFonts w:hint="eastAsia" w:ascii="仿宋_GB2312"/>
                <w:sz w:val="21"/>
              </w:rPr>
              <w:t>河池市木本粮油产业发展中心（含市林科院）核定编制45名，现有在职在编职工40人，其中具有高级专业技术职称</w:t>
            </w:r>
            <w:r>
              <w:rPr>
                <w:rFonts w:ascii="仿宋_GB2312"/>
                <w:sz w:val="21"/>
              </w:rPr>
              <w:t>2</w:t>
            </w:r>
            <w:r>
              <w:rPr>
                <w:rFonts w:hint="eastAsia" w:ascii="仿宋_GB2312"/>
                <w:sz w:val="21"/>
              </w:rPr>
              <w:t>人，中级职称12人，初级职称10人。全市11个县（区）的木本粮油产业发展中心有98名工作人员，有887名乡村级核桃技术员，技术力量雄厚。近年来，在岩溶地区泡核桃生产技术推广和科研方面，取得显著的成果，为建成华南地区最大的核桃产业基地奠定了坚实的基础。</w:t>
            </w:r>
          </w:p>
        </w:tc>
      </w:tr>
    </w:tbl>
    <w:p>
      <w:pPr>
        <w:rPr>
          <w:rFonts w:hint="eastAsia" w:ascii="宋体" w:hAnsi="宋体"/>
          <w:b/>
          <w:bCs/>
          <w:color w:val="auto"/>
          <w:sz w:val="28"/>
          <w:szCs w:val="28"/>
        </w:rPr>
      </w:pPr>
    </w:p>
    <w:p>
      <w:pPr>
        <w:rPr>
          <w:rFonts w:hint="eastAsia" w:ascii="宋体" w:hAnsi="宋体"/>
          <w:b/>
          <w:bCs/>
          <w:color w:val="auto"/>
          <w:sz w:val="28"/>
          <w:szCs w:val="28"/>
        </w:rPr>
      </w:pPr>
    </w:p>
    <w:p>
      <w:pPr>
        <w:jc w:val="center"/>
        <w:outlineLvl w:val="0"/>
        <w:rPr>
          <w:rFonts w:hint="eastAsia" w:ascii="黑体" w:hAnsi="黑体" w:eastAsia="黑体" w:cs="黑体"/>
          <w:bCs/>
          <w:color w:val="auto"/>
          <w:spacing w:val="-17"/>
          <w:sz w:val="36"/>
          <w:lang w:val="en-US" w:eastAsia="zh-CN"/>
        </w:rPr>
      </w:pPr>
      <w:r>
        <w:rPr>
          <w:rFonts w:hint="eastAsia" w:ascii="黑体" w:hAnsi="黑体" w:eastAsia="黑体" w:cs="黑体"/>
          <w:bCs/>
          <w:color w:val="auto"/>
          <w:spacing w:val="-17"/>
          <w:sz w:val="36"/>
          <w:szCs w:val="36"/>
        </w:rPr>
        <w:t>专项经费</w:t>
      </w:r>
      <w:r>
        <w:rPr>
          <w:rFonts w:hint="eastAsia" w:ascii="黑体" w:hAnsi="黑体" w:eastAsia="黑体" w:cs="黑体"/>
          <w:bCs/>
          <w:color w:val="auto"/>
          <w:spacing w:val="-17"/>
          <w:sz w:val="36"/>
        </w:rPr>
        <w:t>项目支出预算明细表</w:t>
      </w:r>
      <w:r>
        <w:rPr>
          <w:rFonts w:hint="eastAsia" w:ascii="黑体" w:hAnsi="黑体" w:eastAsia="黑体" w:cs="黑体"/>
          <w:bCs/>
          <w:color w:val="auto"/>
          <w:spacing w:val="-17"/>
          <w:sz w:val="36"/>
          <w:lang w:val="en-US" w:eastAsia="zh-CN"/>
        </w:rPr>
        <w:t>2</w:t>
      </w:r>
    </w:p>
    <w:p>
      <w:pPr>
        <w:jc w:val="center"/>
        <w:rPr>
          <w:rFonts w:hint="eastAsia" w:ascii="仿宋" w:hAnsi="宋体" w:eastAsia="仿宋"/>
          <w:color w:val="auto"/>
        </w:rPr>
      </w:pPr>
      <w:r>
        <w:rPr>
          <w:rFonts w:hint="eastAsia" w:ascii="仿宋_GB2312"/>
          <w:b/>
          <w:color w:val="auto"/>
          <w:sz w:val="44"/>
        </w:rPr>
        <w:t xml:space="preserve">                          </w:t>
      </w:r>
      <w:r>
        <w:rPr>
          <w:rFonts w:hint="eastAsia" w:ascii="仿宋_GB2312"/>
          <w:b/>
          <w:color w:val="auto"/>
          <w:sz w:val="28"/>
        </w:rPr>
        <w:t>单位：万元</w:t>
      </w:r>
      <w:r>
        <w:rPr>
          <w:rFonts w:hint="eastAsia" w:ascii="仿宋" w:hAnsi="宋体" w:eastAsia="仿宋"/>
          <w:color w:val="auto"/>
        </w:rPr>
        <w:t xml:space="preserve">     </w:t>
      </w:r>
    </w:p>
    <w:tbl>
      <w:tblPr>
        <w:tblStyle w:val="4"/>
        <w:tblW w:w="8327" w:type="dxa"/>
        <w:tblInd w:w="196" w:type="dxa"/>
        <w:tblLayout w:type="fixed"/>
        <w:tblCellMar>
          <w:top w:w="0" w:type="dxa"/>
          <w:left w:w="54" w:type="dxa"/>
          <w:bottom w:w="0" w:type="dxa"/>
          <w:right w:w="54" w:type="dxa"/>
        </w:tblCellMar>
      </w:tblPr>
      <w:tblGrid>
        <w:gridCol w:w="963"/>
        <w:gridCol w:w="4849"/>
        <w:gridCol w:w="2515"/>
      </w:tblGrid>
      <w:tr>
        <w:tblPrEx>
          <w:tblLayout w:type="fixed"/>
          <w:tblCellMar>
            <w:top w:w="0" w:type="dxa"/>
            <w:left w:w="54" w:type="dxa"/>
            <w:bottom w:w="0" w:type="dxa"/>
            <w:right w:w="54" w:type="dxa"/>
          </w:tblCellMar>
        </w:tblPrEx>
        <w:trPr>
          <w:trHeight w:val="454" w:hRule="exact"/>
        </w:trPr>
        <w:tc>
          <w:tcPr>
            <w:tcW w:w="963" w:type="dxa"/>
            <w:vMerge w:val="restart"/>
            <w:tcBorders>
              <w:top w:val="single" w:color="auto" w:sz="6" w:space="0"/>
              <w:left w:val="single" w:color="auto" w:sz="4" w:space="0"/>
              <w:right w:val="single" w:color="auto" w:sz="6" w:space="0"/>
            </w:tcBorders>
            <w:noWrap w:val="0"/>
            <w:vAlign w:val="top"/>
          </w:tcPr>
          <w:p>
            <w:pPr>
              <w:spacing w:line="320" w:lineRule="exact"/>
              <w:jc w:val="center"/>
              <w:rPr>
                <w:rFonts w:hint="eastAsia" w:ascii="宋体" w:hAnsi="宋体" w:cs="宋体"/>
                <w:color w:val="auto"/>
                <w:sz w:val="24"/>
              </w:rPr>
            </w:pPr>
          </w:p>
          <w:p>
            <w:pPr>
              <w:spacing w:line="320" w:lineRule="exact"/>
              <w:jc w:val="center"/>
              <w:rPr>
                <w:rFonts w:hint="eastAsia" w:ascii="宋体" w:hAnsi="宋体" w:cs="宋体"/>
                <w:color w:val="auto"/>
                <w:sz w:val="24"/>
              </w:rPr>
            </w:pPr>
          </w:p>
          <w:p>
            <w:pPr>
              <w:spacing w:line="320" w:lineRule="exact"/>
              <w:jc w:val="center"/>
              <w:rPr>
                <w:rFonts w:hint="eastAsia" w:ascii="宋体" w:hAnsi="宋体" w:cs="宋体"/>
                <w:color w:val="auto"/>
                <w:sz w:val="24"/>
              </w:rPr>
            </w:pPr>
          </w:p>
          <w:p>
            <w:pPr>
              <w:spacing w:line="320" w:lineRule="exact"/>
              <w:jc w:val="center"/>
              <w:rPr>
                <w:rFonts w:hint="eastAsia" w:ascii="宋体" w:hAnsi="宋体" w:cs="宋体"/>
                <w:color w:val="auto"/>
                <w:sz w:val="24"/>
              </w:rPr>
            </w:pPr>
            <w:r>
              <w:rPr>
                <w:rFonts w:hint="eastAsia" w:ascii="宋体" w:hAnsi="宋体" w:cs="宋体"/>
                <w:color w:val="auto"/>
                <w:sz w:val="24"/>
              </w:rPr>
              <w:t>项</w:t>
            </w:r>
          </w:p>
          <w:p>
            <w:pPr>
              <w:spacing w:line="320" w:lineRule="exact"/>
              <w:jc w:val="center"/>
              <w:rPr>
                <w:rFonts w:hint="eastAsia" w:ascii="宋体" w:hAnsi="宋体" w:cs="宋体"/>
                <w:color w:val="auto"/>
                <w:sz w:val="24"/>
              </w:rPr>
            </w:pPr>
            <w:r>
              <w:rPr>
                <w:rFonts w:hint="eastAsia" w:ascii="宋体" w:hAnsi="宋体" w:cs="宋体"/>
                <w:color w:val="auto"/>
                <w:sz w:val="24"/>
              </w:rPr>
              <w:t>目</w:t>
            </w:r>
          </w:p>
          <w:p>
            <w:pPr>
              <w:spacing w:line="400" w:lineRule="exact"/>
              <w:ind w:firstLine="240" w:firstLineChars="100"/>
              <w:jc w:val="both"/>
              <w:rPr>
                <w:rFonts w:hint="eastAsia" w:ascii="宋体" w:hAnsi="宋体" w:cs="宋体"/>
                <w:color w:val="auto"/>
                <w:sz w:val="24"/>
              </w:rPr>
            </w:pPr>
            <w:r>
              <w:rPr>
                <w:rFonts w:hint="eastAsia" w:ascii="宋体" w:hAnsi="宋体" w:cs="宋体"/>
                <w:color w:val="auto"/>
                <w:sz w:val="24"/>
              </w:rPr>
              <w:t>支</w:t>
            </w:r>
          </w:p>
          <w:p>
            <w:pPr>
              <w:spacing w:line="400" w:lineRule="exact"/>
              <w:jc w:val="center"/>
              <w:rPr>
                <w:rFonts w:hint="eastAsia" w:ascii="宋体" w:hAnsi="宋体" w:cs="宋体"/>
                <w:color w:val="auto"/>
                <w:sz w:val="24"/>
              </w:rPr>
            </w:pPr>
            <w:r>
              <w:rPr>
                <w:rFonts w:hint="eastAsia" w:ascii="宋体" w:hAnsi="宋体" w:cs="宋体"/>
                <w:color w:val="auto"/>
                <w:sz w:val="24"/>
              </w:rPr>
              <w:t>出</w:t>
            </w:r>
          </w:p>
          <w:p>
            <w:pPr>
              <w:spacing w:line="400" w:lineRule="exact"/>
              <w:ind w:firstLine="240" w:firstLineChars="100"/>
              <w:jc w:val="both"/>
              <w:rPr>
                <w:rFonts w:hint="eastAsia" w:ascii="宋体" w:hAnsi="宋体" w:cs="宋体"/>
                <w:color w:val="auto"/>
                <w:sz w:val="24"/>
              </w:rPr>
            </w:pPr>
            <w:r>
              <w:rPr>
                <w:rFonts w:hint="eastAsia" w:ascii="宋体" w:hAnsi="宋体" w:cs="宋体"/>
                <w:color w:val="auto"/>
                <w:sz w:val="24"/>
              </w:rPr>
              <w:t>明</w:t>
            </w:r>
          </w:p>
          <w:p>
            <w:pPr>
              <w:spacing w:line="400" w:lineRule="exact"/>
              <w:ind w:firstLine="240" w:firstLineChars="100"/>
              <w:jc w:val="both"/>
              <w:rPr>
                <w:rFonts w:hint="eastAsia" w:ascii="宋体" w:hAnsi="宋体" w:cs="宋体"/>
                <w:color w:val="auto"/>
                <w:sz w:val="24"/>
              </w:rPr>
            </w:pPr>
            <w:r>
              <w:rPr>
                <w:rFonts w:hint="eastAsia" w:ascii="宋体" w:hAnsi="宋体" w:cs="宋体"/>
                <w:color w:val="auto"/>
                <w:sz w:val="24"/>
              </w:rPr>
              <w:t>细</w:t>
            </w:r>
          </w:p>
          <w:p>
            <w:pPr>
              <w:spacing w:line="320" w:lineRule="exact"/>
              <w:jc w:val="center"/>
              <w:rPr>
                <w:rFonts w:hint="eastAsia" w:ascii="宋体" w:hAnsi="宋体" w:cs="宋体"/>
                <w:color w:val="auto"/>
                <w:sz w:val="24"/>
              </w:rPr>
            </w:pPr>
          </w:p>
        </w:tc>
        <w:tc>
          <w:tcPr>
            <w:tcW w:w="4849" w:type="dxa"/>
            <w:tcBorders>
              <w:top w:val="single" w:color="auto" w:sz="6" w:space="0"/>
              <w:bottom w:val="single" w:color="auto" w:sz="6"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支出明细项目</w:t>
            </w:r>
          </w:p>
        </w:tc>
        <w:tc>
          <w:tcPr>
            <w:tcW w:w="2515"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840" w:firstLineChars="350"/>
              <w:jc w:val="center"/>
              <w:rPr>
                <w:rFonts w:hint="eastAsia" w:ascii="宋体" w:hAnsi="宋体" w:cs="宋体"/>
                <w:color w:val="auto"/>
                <w:sz w:val="24"/>
              </w:rPr>
            </w:pPr>
            <w:r>
              <w:rPr>
                <w:rFonts w:hint="eastAsia" w:ascii="宋体" w:hAnsi="宋体" w:cs="宋体"/>
                <w:color w:val="auto"/>
                <w:sz w:val="24"/>
              </w:rPr>
              <w:t>金       额</w:t>
            </w:r>
          </w:p>
        </w:tc>
      </w:tr>
      <w:tr>
        <w:tblPrEx>
          <w:tblLayout w:type="fixed"/>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专用材料费</w:t>
            </w:r>
          </w:p>
        </w:tc>
        <w:tc>
          <w:tcPr>
            <w:tcW w:w="2515" w:type="dxa"/>
            <w:tcBorders>
              <w:top w:val="single" w:color="auto" w:sz="6" w:space="0"/>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15</w:t>
            </w:r>
          </w:p>
        </w:tc>
      </w:tr>
      <w:tr>
        <w:tblPrEx>
          <w:tblLayout w:type="fixed"/>
          <w:tblCellMar>
            <w:top w:w="0" w:type="dxa"/>
            <w:left w:w="54" w:type="dxa"/>
            <w:bottom w:w="0" w:type="dxa"/>
            <w:right w:w="54" w:type="dxa"/>
          </w:tblCellMar>
        </w:tblPrEx>
        <w:trPr>
          <w:trHeight w:val="709" w:hRule="exact"/>
        </w:trPr>
        <w:tc>
          <w:tcPr>
            <w:tcW w:w="963" w:type="dxa"/>
            <w:vMerge w:val="continue"/>
            <w:tcBorders>
              <w:left w:val="single" w:color="auto" w:sz="4" w:space="0"/>
              <w:right w:val="single" w:color="auto" w:sz="6" w:space="0"/>
            </w:tcBorders>
            <w:noWrap w:val="0"/>
            <w:vAlign w:val="top"/>
          </w:tcPr>
          <w:p>
            <w:pPr>
              <w:spacing w:line="400" w:lineRule="exact"/>
              <w:ind w:firstLine="720" w:firstLineChars="300"/>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lang w:val="en-US" w:eastAsia="zh-CN"/>
              </w:rPr>
            </w:pPr>
            <w:r>
              <w:rPr>
                <w:rFonts w:hint="eastAsia" w:ascii="宋体" w:hAnsi="宋体" w:cs="宋体"/>
                <w:color w:val="auto"/>
                <w:sz w:val="24"/>
              </w:rPr>
              <w:t>劳务费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9</w:t>
            </w:r>
          </w:p>
        </w:tc>
      </w:tr>
      <w:tr>
        <w:tblPrEx>
          <w:tblLayout w:type="fixed"/>
          <w:tblCellMar>
            <w:top w:w="0" w:type="dxa"/>
            <w:left w:w="54" w:type="dxa"/>
            <w:bottom w:w="0" w:type="dxa"/>
            <w:right w:w="54" w:type="dxa"/>
          </w:tblCellMar>
        </w:tblPrEx>
        <w:trPr>
          <w:trHeight w:val="622" w:hRule="exact"/>
        </w:trPr>
        <w:tc>
          <w:tcPr>
            <w:tcW w:w="963" w:type="dxa"/>
            <w:vMerge w:val="continue"/>
            <w:tcBorders>
              <w:left w:val="single" w:color="auto" w:sz="4" w:space="0"/>
              <w:right w:val="single" w:color="auto" w:sz="6" w:space="0"/>
            </w:tcBorders>
            <w:noWrap w:val="0"/>
            <w:vAlign w:val="top"/>
          </w:tcPr>
          <w:p>
            <w:pPr>
              <w:spacing w:line="400" w:lineRule="exact"/>
              <w:ind w:firstLine="720" w:firstLineChars="300"/>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差旅费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r>
      <w:tr>
        <w:tblPrEx>
          <w:tblLayout w:type="fixed"/>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400" w:lineRule="exact"/>
              <w:ind w:firstLine="720" w:firstLineChars="300"/>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培训费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r>
      <w:tr>
        <w:tblPrEx>
          <w:tblLayout w:type="fixed"/>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办公费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r>
      <w:tr>
        <w:tblPrEx>
          <w:tblLayout w:type="fixed"/>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印刷费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r>
      <w:tr>
        <w:tblPrEx>
          <w:tblLayout w:type="fixed"/>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其他交通费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r>
      <w:tr>
        <w:tblPrEx>
          <w:tblLayout w:type="fixed"/>
          <w:tblCellMar>
            <w:top w:w="0" w:type="dxa"/>
            <w:left w:w="54" w:type="dxa"/>
            <w:bottom w:w="0" w:type="dxa"/>
            <w:right w:w="54" w:type="dxa"/>
          </w:tblCellMar>
        </w:tblPrEx>
        <w:trPr>
          <w:trHeight w:val="454" w:hRule="exact"/>
        </w:trPr>
        <w:tc>
          <w:tcPr>
            <w:tcW w:w="963"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4849"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eastAsia="zh-CN"/>
              </w:rPr>
            </w:pPr>
            <w:r>
              <w:rPr>
                <w:rFonts w:hint="eastAsia" w:ascii="宋体" w:hAnsi="宋体" w:cs="宋体"/>
                <w:color w:val="auto"/>
                <w:sz w:val="24"/>
                <w:lang w:eastAsia="zh-CN"/>
              </w:rPr>
              <w:t>会议费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r>
      <w:tr>
        <w:tblPrEx>
          <w:tblLayout w:type="fixed"/>
          <w:tblCellMar>
            <w:top w:w="0" w:type="dxa"/>
            <w:left w:w="54" w:type="dxa"/>
            <w:bottom w:w="0" w:type="dxa"/>
            <w:right w:w="54" w:type="dxa"/>
          </w:tblCellMar>
        </w:tblPrEx>
        <w:trPr>
          <w:trHeight w:val="6585" w:hRule="atLeast"/>
        </w:trPr>
        <w:tc>
          <w:tcPr>
            <w:tcW w:w="963" w:type="dxa"/>
            <w:tcBorders>
              <w:top w:val="single" w:color="auto" w:sz="6" w:space="0"/>
              <w:left w:val="single" w:color="auto" w:sz="4" w:space="0"/>
              <w:bottom w:val="single" w:color="auto" w:sz="4" w:space="0"/>
              <w:right w:val="single" w:color="auto" w:sz="4" w:space="0"/>
            </w:tcBorders>
            <w:noWrap w:val="0"/>
            <w:vAlign w:val="center"/>
          </w:tcPr>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测</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算</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依</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据</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及</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说</w:t>
            </w:r>
          </w:p>
          <w:p>
            <w:pPr>
              <w:spacing w:line="360" w:lineRule="exact"/>
              <w:ind w:firstLine="480" w:firstLineChars="200"/>
              <w:jc w:val="both"/>
              <w:rPr>
                <w:rFonts w:hint="eastAsia" w:ascii="宋体" w:hAnsi="宋体" w:cs="宋体"/>
                <w:color w:val="auto"/>
                <w:sz w:val="24"/>
              </w:rPr>
            </w:pPr>
            <w:r>
              <w:rPr>
                <w:rFonts w:hint="eastAsia" w:ascii="宋体" w:hAnsi="宋体" w:cs="宋体"/>
                <w:color w:val="auto"/>
                <w:sz w:val="24"/>
              </w:rPr>
              <w:t>明</w:t>
            </w:r>
          </w:p>
        </w:tc>
        <w:tc>
          <w:tcPr>
            <w:tcW w:w="7364" w:type="dxa"/>
            <w:gridSpan w:val="2"/>
            <w:tcBorders>
              <w:top w:val="single" w:color="auto" w:sz="4" w:space="0"/>
              <w:left w:val="single" w:color="auto" w:sz="4" w:space="0"/>
              <w:bottom w:val="single" w:color="auto" w:sz="4" w:space="0"/>
              <w:right w:val="single" w:color="auto" w:sz="4" w:space="0"/>
            </w:tcBorders>
            <w:noWrap w:val="0"/>
            <w:vAlign w:val="top"/>
          </w:tcPr>
          <w:p>
            <w:pPr>
              <w:pStyle w:val="3"/>
              <w:numPr>
                <w:ilvl w:val="0"/>
                <w:numId w:val="1"/>
              </w:numPr>
              <w:adjustRightInd w:val="0"/>
              <w:snapToGrid w:val="0"/>
              <w:spacing w:line="300" w:lineRule="auto"/>
              <w:ind w:left="-20" w:leftChars="0" w:firstLine="660" w:firstLineChars="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核桃产业提质增效工作35万元。其中西北农林科技大学河池市核桃试验工作站建设经费5万元，核桃优新品种推广10万元（高接换冠本地技术队伍培养和优新品种穗条采购），核桃大树高接换冠示范项目5万元，“万千百”核桃示范基地管护费10万元、市本级亮点工程示范点建设经费5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rPr>
            </w:pPr>
            <w:r>
              <w:rPr>
                <w:rFonts w:hint="eastAsia" w:ascii="宋体" w:hAnsi="宋体" w:cs="宋体"/>
                <w:color w:val="auto"/>
                <w:kern w:val="2"/>
                <w:sz w:val="24"/>
                <w:szCs w:val="24"/>
                <w:lang w:val="en-US" w:eastAsia="zh-CN" w:bidi="ar-SA"/>
              </w:rPr>
              <w:t>二、核桃产业常规业务工作15万元。其中开展核桃技术培训7万元，做好核桃产业宣传4万元，召开全市核桃产业发展现场会、工作布置会等2次4万元。</w:t>
            </w:r>
            <w:r>
              <w:rPr>
                <w:rFonts w:hint="eastAsia" w:ascii="宋体" w:hAnsi="宋体" w:cs="宋体"/>
                <w:color w:val="auto"/>
                <w:sz w:val="24"/>
              </w:rPr>
              <w:t>具体如下：①专用材料费15万元用于购买西北农林科技大学河池市核桃试验工作站示范基地、市本级亮点工程、万千百示范基地管护肥料农药等，以及优新品种推广和核桃大树高接换冠示范项目穗条等；②劳务费9万元用于西北农林科技大学河池市核桃试验工作站示范基地管护劳务和专家劳务费，市本级亮点工程、万千百示范基地管护、核桃大树高接换冠示范项目劳务费等；③差旅费4万元用于亮点工程、西北农林科技大学核桃试验工作站建设、优新品种推广等项目实施出差；④其他交通费7万元用于核桃亮点工程示范点、西北农林科技大学河池市核桃工作试验建设、优新品种推广高接换冠等工作实施出差租车；⑤培训费7万元用于开展核桃技术培训8次，培训人数560人次；⑥办公费3万用于开展核桃宣传工作；⑦印刷费1万元用于核桃宣传资料打印；⑧会议费4万元。</w:t>
            </w:r>
          </w:p>
        </w:tc>
      </w:tr>
    </w:tbl>
    <w:p>
      <w:pPr>
        <w:rPr>
          <w:rFonts w:hint="eastAsia" w:ascii="宋体" w:hAnsi="宋体"/>
          <w:b/>
          <w:bCs/>
          <w:color w:val="auto"/>
          <w:sz w:val="28"/>
          <w:szCs w:val="28"/>
        </w:rPr>
      </w:pPr>
    </w:p>
    <w:p>
      <w:pPr>
        <w:snapToGrid w:val="0"/>
        <w:spacing w:line="480" w:lineRule="auto"/>
        <w:jc w:val="center"/>
        <w:outlineLvl w:val="0"/>
        <w:rPr>
          <w:rFonts w:hint="eastAsia" w:eastAsia="黑体"/>
          <w:b/>
          <w:color w:val="auto"/>
          <w:sz w:val="52"/>
          <w:lang w:val="en-US" w:eastAsia="zh-CN"/>
        </w:rPr>
      </w:pPr>
      <w:r>
        <w:rPr>
          <w:rFonts w:hint="eastAsia" w:eastAsia="黑体"/>
          <w:color w:val="auto"/>
          <w:sz w:val="36"/>
          <w:szCs w:val="36"/>
        </w:rPr>
        <w:t>项目申报书</w:t>
      </w:r>
      <w:r>
        <w:rPr>
          <w:rFonts w:hint="eastAsia" w:eastAsia="黑体"/>
          <w:color w:val="auto"/>
          <w:sz w:val="36"/>
          <w:szCs w:val="36"/>
          <w:lang w:val="en-US" w:eastAsia="zh-CN"/>
        </w:rPr>
        <w:t>3</w:t>
      </w:r>
    </w:p>
    <w:tbl>
      <w:tblPr>
        <w:tblStyle w:val="4"/>
        <w:tblW w:w="9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356"/>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3830"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5486" w:type="dxa"/>
            <w:gridSpan w:val="2"/>
            <w:noWrap w:val="0"/>
            <w:vAlign w:val="center"/>
          </w:tcPr>
          <w:p>
            <w:pPr>
              <w:snapToGrid w:val="0"/>
              <w:rPr>
                <w:rFonts w:hint="eastAsia" w:ascii="宋体" w:hAnsi="宋体" w:cs="宋体"/>
                <w:color w:val="auto"/>
                <w:sz w:val="24"/>
              </w:rPr>
            </w:pPr>
            <w:r>
              <w:rPr>
                <w:rFonts w:hint="eastAsia" w:ascii="宋体" w:hAnsi="宋体" w:cs="宋体"/>
                <w:color w:val="auto"/>
                <w:sz w:val="24"/>
              </w:rPr>
              <w:t>“十大百万”核桃扶贫产业发展工作经费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3830"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项目属性</w:t>
            </w:r>
          </w:p>
        </w:tc>
        <w:tc>
          <w:tcPr>
            <w:tcW w:w="5486" w:type="dxa"/>
            <w:gridSpan w:val="2"/>
            <w:noWrap w:val="0"/>
            <w:vAlign w:val="center"/>
          </w:tcPr>
          <w:p>
            <w:pPr>
              <w:ind w:left="113"/>
              <w:rPr>
                <w:rFonts w:hint="eastAsia" w:ascii="宋体" w:hAnsi="宋体" w:cs="宋体"/>
                <w:color w:val="auto"/>
                <w:sz w:val="24"/>
              </w:rPr>
            </w:pPr>
            <w:r>
              <w:rPr>
                <w:rFonts w:hint="eastAsia" w:ascii="宋体" w:hAnsi="宋体" w:cs="宋体"/>
                <w:color w:val="auto"/>
                <w:sz w:val="24"/>
              </w:rPr>
              <w:t>1.新增项目</w:t>
            </w:r>
            <w:r>
              <w:rPr>
                <w:rFonts w:hint="eastAsia" w:ascii="MS Mincho" w:hAnsi="MS Mincho" w:eastAsia="宋体" w:cs="MS Mincho"/>
                <w:color w:val="auto"/>
                <w:spacing w:val="20"/>
                <w:sz w:val="24"/>
                <w:lang w:eastAsia="zh-CN"/>
              </w:rPr>
              <w:t>□</w:t>
            </w:r>
            <w:r>
              <w:rPr>
                <w:rFonts w:hint="eastAsia" w:ascii="宋体" w:hAnsi="宋体" w:cs="宋体"/>
                <w:color w:val="auto"/>
                <w:sz w:val="24"/>
              </w:rPr>
              <w:t xml:space="preserve">   </w:t>
            </w:r>
            <w:r>
              <w:rPr>
                <w:rFonts w:hint="eastAsia" w:ascii="宋体" w:hAnsi="宋体" w:cs="宋体"/>
                <w:color w:val="auto"/>
                <w:spacing w:val="20"/>
                <w:sz w:val="24"/>
              </w:rPr>
              <w:t>2.延续项目</w:t>
            </w:r>
            <w:r>
              <w:rPr>
                <w:rFonts w:hint="eastAsia" w:ascii="宋体" w:hAnsi="宋体" w:cs="宋体"/>
                <w:color w:val="auto"/>
                <w:spacing w:val="20"/>
                <w:sz w:val="24"/>
                <w:lang w:eastAsia="zh-CN"/>
              </w:rPr>
              <w:t>☑</w:t>
            </w:r>
            <w:r>
              <w:rPr>
                <w:rFonts w:hint="eastAsia" w:ascii="宋体" w:hAnsi="宋体" w:cs="宋体"/>
                <w:color w:val="auto"/>
                <w:spacing w:val="2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项目总投资</w:t>
            </w:r>
          </w:p>
        </w:tc>
        <w:tc>
          <w:tcPr>
            <w:tcW w:w="5486" w:type="dxa"/>
            <w:gridSpan w:val="2"/>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资金来源计划</w:t>
            </w:r>
          </w:p>
        </w:tc>
        <w:tc>
          <w:tcPr>
            <w:tcW w:w="2356"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金额</w:t>
            </w:r>
          </w:p>
        </w:tc>
        <w:tc>
          <w:tcPr>
            <w:tcW w:w="3130" w:type="dxa"/>
            <w:noWrap w:val="0"/>
            <w:vAlign w:val="center"/>
          </w:tcPr>
          <w:p>
            <w:pPr>
              <w:spacing w:line="440" w:lineRule="exact"/>
              <w:ind w:left="927"/>
              <w:rPr>
                <w:rFonts w:hint="eastAsia" w:ascii="宋体" w:hAnsi="宋体" w:cs="宋体"/>
                <w:color w:val="auto"/>
                <w:sz w:val="24"/>
              </w:rPr>
            </w:pPr>
            <w:r>
              <w:rPr>
                <w:rFonts w:hint="eastAsia" w:ascii="宋体" w:hAnsi="宋体" w:cs="宋体"/>
                <w:color w:val="auto"/>
                <w:sz w:val="24"/>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一、财政安排资金合计</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3130" w:type="dxa"/>
            <w:noWrap w:val="0"/>
            <w:vAlign w:val="center"/>
          </w:tcPr>
          <w:p>
            <w:pPr>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1、上级财政补助</w:t>
            </w:r>
          </w:p>
        </w:tc>
        <w:tc>
          <w:tcPr>
            <w:tcW w:w="2356"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2、本级财政安排（一般预算支出）</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3130" w:type="dxa"/>
            <w:noWrap w:val="0"/>
            <w:vAlign w:val="center"/>
          </w:tcPr>
          <w:p>
            <w:pPr>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3、本级基金安排</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4、非税收入安排（一般预算支出）</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p>
        </w:tc>
        <w:tc>
          <w:tcPr>
            <w:tcW w:w="3130" w:type="dxa"/>
            <w:noWrap w:val="0"/>
            <w:vAlign w:val="center"/>
          </w:tcPr>
          <w:p>
            <w:pPr>
              <w:spacing w:line="44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二、单位自筹资金</w:t>
            </w:r>
          </w:p>
        </w:tc>
        <w:tc>
          <w:tcPr>
            <w:tcW w:w="2356"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三、银行贷款</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四、国债</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3830" w:type="dxa"/>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五、其他资金投入</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9" w:hRule="atLeast"/>
          <w:jc w:val="center"/>
        </w:trPr>
        <w:tc>
          <w:tcPr>
            <w:tcW w:w="3830" w:type="dxa"/>
            <w:tcBorders>
              <w:bottom w:val="single" w:color="auto" w:sz="4" w:space="0"/>
            </w:tcBorders>
            <w:noWrap w:val="0"/>
            <w:vAlign w:val="center"/>
          </w:tcPr>
          <w:p>
            <w:pPr>
              <w:jc w:val="center"/>
              <w:rPr>
                <w:rFonts w:hint="eastAsia" w:ascii="宋体" w:hAnsi="宋体" w:cs="宋体"/>
                <w:color w:val="auto"/>
                <w:spacing w:val="52"/>
                <w:sz w:val="24"/>
              </w:rPr>
            </w:pPr>
            <w:r>
              <w:rPr>
                <w:rFonts w:hint="eastAsia" w:ascii="宋体" w:hAnsi="宋体" w:cs="宋体"/>
                <w:color w:val="auto"/>
                <w:spacing w:val="52"/>
                <w:sz w:val="24"/>
              </w:rPr>
              <w:t>项目主要内容及项目申请理由</w:t>
            </w:r>
          </w:p>
        </w:tc>
        <w:tc>
          <w:tcPr>
            <w:tcW w:w="548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 w:val="21"/>
                <w:szCs w:val="21"/>
              </w:rPr>
            </w:pPr>
            <w:r>
              <w:rPr>
                <w:rFonts w:hint="eastAsia" w:ascii="宋体" w:hAnsi="宋体" w:cs="宋体"/>
                <w:b/>
                <w:bCs/>
                <w:color w:val="000000"/>
                <w:sz w:val="21"/>
                <w:szCs w:val="21"/>
              </w:rPr>
              <w:t>项目主要内容：</w:t>
            </w:r>
            <w:r>
              <w:rPr>
                <w:rFonts w:hint="eastAsia" w:ascii="仿宋_GB2312"/>
                <w:color w:val="000000"/>
                <w:sz w:val="21"/>
                <w:szCs w:val="21"/>
              </w:rPr>
              <w:t>组织市级开展“十大百万”扶贫产业工程核桃产业专项督查工作等。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lang w:val="en-US" w:eastAsia="zh-CN"/>
              </w:rPr>
            </w:pPr>
            <w:r>
              <w:rPr>
                <w:rFonts w:hint="eastAsia" w:ascii="宋体" w:hAnsi="宋体" w:cs="宋体"/>
                <w:b/>
                <w:bCs/>
                <w:color w:val="000000"/>
                <w:sz w:val="21"/>
                <w:szCs w:val="21"/>
              </w:rPr>
              <w:t>项目申请理由：</w:t>
            </w:r>
            <w:r>
              <w:rPr>
                <w:rFonts w:hint="eastAsia" w:ascii="宋体" w:hAnsi="宋体" w:cs="宋体"/>
                <w:color w:val="000000"/>
                <w:sz w:val="21"/>
                <w:szCs w:val="21"/>
              </w:rPr>
              <w:t>根据河办发〔2016〕21号、河办发﹝2018﹞70号，河池市核桃种植面积已完成260万亩，各县（区）历年种植的核桃陆续初花初果，产量逐步增加，经济效益初步显现。因此，加强对“十大百万”扶贫产业工程——核桃产业各项工作落实情况的监督十分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jc w:val="center"/>
        </w:trPr>
        <w:tc>
          <w:tcPr>
            <w:tcW w:w="3830" w:type="dxa"/>
            <w:tcBorders>
              <w:bottom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项目组织实施条件</w:t>
            </w:r>
          </w:p>
        </w:tc>
        <w:tc>
          <w:tcPr>
            <w:tcW w:w="548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rPr>
            </w:pPr>
            <w:r>
              <w:rPr>
                <w:rFonts w:hint="eastAsia" w:ascii="仿宋_GB2312"/>
                <w:sz w:val="21"/>
                <w:szCs w:val="21"/>
              </w:rPr>
              <w:t>河池市核桃产业发展局（含市林科院）核定编制45名，现有在职在编职工40人，其中具有高级专业技术职称1人，中级职称12人，初级职称10人。是全国唯一的地级市核桃局，同时还聘请了国内有关核桃著名专家5人，全市11个县（区）的核桃局（办）有98名工作人员，有887名乡村级核桃技术员，技术力量雄厚。核桃产业成立了市、县、乡三级核桃管理体系和市、县、乡、村四级核桃专业技术队伍，管理体系和专业技术队伍建设完善，项目工作开展的技术力量强大。</w:t>
            </w:r>
          </w:p>
        </w:tc>
      </w:tr>
    </w:tbl>
    <w:p>
      <w:pPr>
        <w:rPr>
          <w:rFonts w:hint="eastAsia" w:ascii="宋体" w:hAnsi="宋体"/>
          <w:b/>
          <w:bCs/>
          <w:color w:val="auto"/>
          <w:sz w:val="28"/>
          <w:szCs w:val="28"/>
        </w:rPr>
      </w:pPr>
    </w:p>
    <w:p>
      <w:pPr>
        <w:jc w:val="center"/>
        <w:outlineLvl w:val="0"/>
        <w:rPr>
          <w:rFonts w:hint="eastAsia" w:ascii="黑体" w:hAnsi="黑体" w:eastAsia="黑体" w:cs="黑体"/>
          <w:bCs/>
          <w:color w:val="auto"/>
          <w:spacing w:val="-17"/>
          <w:sz w:val="36"/>
          <w:lang w:val="en-US" w:eastAsia="zh-CN"/>
        </w:rPr>
      </w:pPr>
      <w:r>
        <w:rPr>
          <w:rFonts w:hint="eastAsia" w:ascii="黑体" w:hAnsi="黑体" w:eastAsia="黑体" w:cs="黑体"/>
          <w:bCs/>
          <w:color w:val="auto"/>
          <w:spacing w:val="-17"/>
          <w:sz w:val="36"/>
          <w:szCs w:val="36"/>
        </w:rPr>
        <w:t>专项经费</w:t>
      </w:r>
      <w:r>
        <w:rPr>
          <w:rFonts w:hint="eastAsia" w:ascii="黑体" w:hAnsi="黑体" w:eastAsia="黑体" w:cs="黑体"/>
          <w:bCs/>
          <w:color w:val="auto"/>
          <w:spacing w:val="-17"/>
          <w:sz w:val="36"/>
        </w:rPr>
        <w:t>项目支出预算明细表</w:t>
      </w:r>
      <w:r>
        <w:rPr>
          <w:rFonts w:hint="eastAsia" w:ascii="黑体" w:hAnsi="黑体" w:eastAsia="黑体" w:cs="黑体"/>
          <w:bCs/>
          <w:color w:val="auto"/>
          <w:spacing w:val="-17"/>
          <w:sz w:val="36"/>
          <w:lang w:val="en-US" w:eastAsia="zh-CN"/>
        </w:rPr>
        <w:t>3</w:t>
      </w:r>
    </w:p>
    <w:p>
      <w:pPr>
        <w:jc w:val="center"/>
        <w:rPr>
          <w:rFonts w:hint="eastAsia" w:ascii="仿宋" w:hAnsi="宋体" w:eastAsia="仿宋"/>
          <w:color w:val="auto"/>
        </w:rPr>
      </w:pPr>
      <w:r>
        <w:rPr>
          <w:rFonts w:hint="eastAsia" w:ascii="仿宋_GB2312"/>
          <w:b/>
          <w:color w:val="auto"/>
          <w:sz w:val="44"/>
        </w:rPr>
        <w:t xml:space="preserve">                          </w:t>
      </w:r>
      <w:r>
        <w:rPr>
          <w:rFonts w:hint="eastAsia" w:ascii="仿宋_GB2312"/>
          <w:b/>
          <w:color w:val="auto"/>
          <w:sz w:val="28"/>
        </w:rPr>
        <w:t>单位：万元</w:t>
      </w:r>
      <w:r>
        <w:rPr>
          <w:rFonts w:hint="eastAsia" w:ascii="仿宋" w:hAnsi="宋体" w:eastAsia="仿宋"/>
          <w:color w:val="auto"/>
        </w:rPr>
        <w:t xml:space="preserve">     </w:t>
      </w:r>
    </w:p>
    <w:tbl>
      <w:tblPr>
        <w:tblStyle w:val="4"/>
        <w:tblW w:w="8327" w:type="dxa"/>
        <w:tblInd w:w="196" w:type="dxa"/>
        <w:tblLayout w:type="fixed"/>
        <w:tblCellMar>
          <w:top w:w="0" w:type="dxa"/>
          <w:left w:w="54" w:type="dxa"/>
          <w:bottom w:w="0" w:type="dxa"/>
          <w:right w:w="54" w:type="dxa"/>
        </w:tblCellMar>
      </w:tblPr>
      <w:tblGrid>
        <w:gridCol w:w="2198"/>
        <w:gridCol w:w="3614"/>
        <w:gridCol w:w="2515"/>
      </w:tblGrid>
      <w:tr>
        <w:tblPrEx>
          <w:tblLayout w:type="fixed"/>
          <w:tblCellMar>
            <w:top w:w="0" w:type="dxa"/>
            <w:left w:w="54" w:type="dxa"/>
            <w:bottom w:w="0" w:type="dxa"/>
            <w:right w:w="54" w:type="dxa"/>
          </w:tblCellMar>
        </w:tblPrEx>
        <w:trPr>
          <w:trHeight w:val="454" w:hRule="exact"/>
        </w:trPr>
        <w:tc>
          <w:tcPr>
            <w:tcW w:w="2198" w:type="dxa"/>
            <w:vMerge w:val="restart"/>
            <w:tcBorders>
              <w:top w:val="single" w:color="auto" w:sz="6" w:space="0"/>
              <w:left w:val="single" w:color="auto" w:sz="4" w:space="0"/>
              <w:right w:val="single" w:color="auto" w:sz="6" w:space="0"/>
            </w:tcBorders>
            <w:noWrap w:val="0"/>
            <w:vAlign w:val="top"/>
          </w:tcPr>
          <w:p>
            <w:pPr>
              <w:spacing w:line="320" w:lineRule="exact"/>
              <w:rPr>
                <w:rFonts w:hint="eastAsia" w:ascii="宋体" w:hAnsi="宋体" w:cs="宋体"/>
                <w:color w:val="auto"/>
                <w:sz w:val="24"/>
              </w:rPr>
            </w:pPr>
            <w:r>
              <w:rPr>
                <w:rFonts w:hint="eastAsia" w:ascii="宋体" w:hAnsi="宋体" w:cs="宋体"/>
                <w:color w:val="auto"/>
                <w:sz w:val="24"/>
              </w:rPr>
              <w:t xml:space="preserve">      项</w:t>
            </w:r>
          </w:p>
          <w:p>
            <w:pPr>
              <w:spacing w:line="320" w:lineRule="exact"/>
              <w:rPr>
                <w:rFonts w:hint="eastAsia" w:ascii="宋体" w:hAnsi="宋体" w:cs="宋体"/>
                <w:color w:val="auto"/>
                <w:sz w:val="24"/>
              </w:rPr>
            </w:pPr>
            <w:r>
              <w:rPr>
                <w:rFonts w:hint="eastAsia" w:ascii="宋体" w:hAnsi="宋体" w:cs="宋体"/>
                <w:color w:val="auto"/>
                <w:sz w:val="24"/>
              </w:rPr>
              <w:t xml:space="preserve">      目</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支</w:t>
            </w:r>
          </w:p>
          <w:p>
            <w:pPr>
              <w:spacing w:line="400" w:lineRule="exact"/>
              <w:rPr>
                <w:rFonts w:hint="eastAsia" w:ascii="宋体" w:hAnsi="宋体" w:cs="宋体"/>
                <w:color w:val="auto"/>
                <w:sz w:val="24"/>
              </w:rPr>
            </w:pPr>
            <w:r>
              <w:rPr>
                <w:rFonts w:hint="eastAsia" w:ascii="宋体" w:hAnsi="宋体" w:cs="宋体"/>
                <w:color w:val="auto"/>
                <w:sz w:val="24"/>
              </w:rPr>
              <w:t xml:space="preserve">      出</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明</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细</w:t>
            </w:r>
          </w:p>
          <w:p>
            <w:pPr>
              <w:spacing w:line="320" w:lineRule="exact"/>
              <w:rPr>
                <w:rFonts w:hint="eastAsia" w:ascii="宋体" w:hAnsi="宋体" w:cs="宋体"/>
                <w:color w:val="auto"/>
                <w:sz w:val="24"/>
              </w:rPr>
            </w:pPr>
            <w:r>
              <w:rPr>
                <w:rFonts w:hint="eastAsia" w:ascii="宋体" w:hAnsi="宋体" w:cs="宋体"/>
                <w:color w:val="auto"/>
                <w:sz w:val="24"/>
              </w:rPr>
              <w:t xml:space="preserve">   </w:t>
            </w:r>
          </w:p>
        </w:tc>
        <w:tc>
          <w:tcPr>
            <w:tcW w:w="3614" w:type="dxa"/>
            <w:tcBorders>
              <w:top w:val="single" w:color="auto" w:sz="6" w:space="0"/>
              <w:bottom w:val="single" w:color="auto" w:sz="6"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支出明细项目</w:t>
            </w:r>
          </w:p>
        </w:tc>
        <w:tc>
          <w:tcPr>
            <w:tcW w:w="2515"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840" w:firstLineChars="350"/>
              <w:jc w:val="center"/>
              <w:rPr>
                <w:rFonts w:hint="eastAsia" w:ascii="宋体" w:hAnsi="宋体" w:cs="宋体"/>
                <w:color w:val="auto"/>
                <w:sz w:val="24"/>
              </w:rPr>
            </w:pPr>
            <w:r>
              <w:rPr>
                <w:rFonts w:hint="eastAsia" w:ascii="宋体" w:hAnsi="宋体" w:cs="宋体"/>
                <w:color w:val="auto"/>
                <w:sz w:val="24"/>
              </w:rPr>
              <w:t>金       额</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6" w:space="0"/>
            </w:tcBorders>
            <w:noWrap w:val="0"/>
            <w:vAlign w:val="top"/>
          </w:tcPr>
          <w:p>
            <w:pPr>
              <w:spacing w:line="320" w:lineRule="exact"/>
              <w:rPr>
                <w:rFonts w:hint="eastAsia" w:ascii="宋体" w:hAnsi="宋体" w:cs="宋体"/>
                <w:color w:val="auto"/>
                <w:sz w:val="24"/>
              </w:rPr>
            </w:pPr>
          </w:p>
        </w:tc>
        <w:tc>
          <w:tcPr>
            <w:tcW w:w="3614" w:type="dxa"/>
            <w:tcBorders>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差旅费</w:t>
            </w:r>
          </w:p>
        </w:tc>
        <w:tc>
          <w:tcPr>
            <w:tcW w:w="2515" w:type="dxa"/>
            <w:tcBorders>
              <w:top w:val="single" w:color="auto" w:sz="6" w:space="0"/>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p>
        </w:tc>
      </w:tr>
      <w:tr>
        <w:tblPrEx>
          <w:tblLayout w:type="fixed"/>
          <w:tblCellMar>
            <w:top w:w="0" w:type="dxa"/>
            <w:left w:w="54" w:type="dxa"/>
            <w:bottom w:w="0" w:type="dxa"/>
            <w:right w:w="54" w:type="dxa"/>
          </w:tblCellMar>
        </w:tblPrEx>
        <w:trPr>
          <w:trHeight w:val="6585" w:hRule="atLeast"/>
        </w:trPr>
        <w:tc>
          <w:tcPr>
            <w:tcW w:w="2198" w:type="dxa"/>
            <w:tcBorders>
              <w:top w:val="single" w:color="auto" w:sz="6"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测</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算</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依</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据</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及</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说</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明</w:t>
            </w:r>
          </w:p>
        </w:tc>
        <w:tc>
          <w:tcPr>
            <w:tcW w:w="612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4"/>
              </w:rPr>
            </w:pPr>
            <w:r>
              <w:rPr>
                <w:rFonts w:hint="eastAsia" w:ascii="宋体" w:hAnsi="宋体" w:cs="宋体"/>
                <w:color w:val="000000"/>
                <w:sz w:val="21"/>
                <w:szCs w:val="21"/>
                <w:lang w:bidi="ar"/>
              </w:rPr>
              <w:t>根据《河池市落实重大决策推进重大项目督查考评激励问责办法（试行）》的通知（河办发〔2016〕21号）和《关于印发《河池市推进“十大百万”扶贫产业提质增效实施意见（2018－2025年）的通知》（河办发〔2018〕70号），组织市级开展核桃产业专项督查等工作2次，每次16人，每次督查约7天。</w:t>
            </w:r>
            <w:r>
              <w:rPr>
                <w:rFonts w:hint="eastAsia" w:ascii="宋体" w:hAnsi="宋体" w:cs="宋体"/>
                <w:color w:val="auto"/>
                <w:sz w:val="24"/>
              </w:rPr>
              <w:t>差旅费10万元。2次×16人/次×7天/次×450元/天≈10万元</w:t>
            </w:r>
          </w:p>
        </w:tc>
      </w:tr>
    </w:tbl>
    <w:p>
      <w:pPr>
        <w:spacing w:line="480" w:lineRule="exact"/>
        <w:ind w:right="-272" w:rightChars="-85"/>
        <w:rPr>
          <w:rFonts w:hint="eastAsia" w:ascii="仿宋_GB2312" w:eastAsia="仿宋_GB2312"/>
          <w:color w:val="auto"/>
          <w:w w:val="90"/>
          <w:sz w:val="30"/>
          <w:szCs w:val="30"/>
        </w:rPr>
      </w:pPr>
    </w:p>
    <w:p>
      <w:pPr>
        <w:snapToGrid w:val="0"/>
        <w:spacing w:line="480" w:lineRule="auto"/>
        <w:jc w:val="center"/>
        <w:rPr>
          <w:rFonts w:hint="eastAsia" w:eastAsia="黑体"/>
          <w:color w:val="auto"/>
          <w:sz w:val="36"/>
          <w:szCs w:val="36"/>
        </w:rPr>
      </w:pPr>
    </w:p>
    <w:p>
      <w:pPr>
        <w:pStyle w:val="2"/>
        <w:rPr>
          <w:rFonts w:hint="eastAsia" w:eastAsia="黑体"/>
          <w:color w:val="auto"/>
          <w:sz w:val="36"/>
          <w:szCs w:val="36"/>
        </w:rPr>
      </w:pPr>
    </w:p>
    <w:p>
      <w:pPr>
        <w:rPr>
          <w:rFonts w:hint="eastAsia" w:eastAsia="黑体"/>
          <w:color w:val="auto"/>
          <w:sz w:val="36"/>
          <w:szCs w:val="36"/>
        </w:rPr>
      </w:pPr>
    </w:p>
    <w:p>
      <w:pPr>
        <w:rPr>
          <w:rFonts w:hint="eastAsia" w:eastAsia="黑体"/>
          <w:color w:val="auto"/>
          <w:sz w:val="36"/>
          <w:szCs w:val="36"/>
        </w:rPr>
      </w:pPr>
    </w:p>
    <w:p>
      <w:pPr>
        <w:pStyle w:val="2"/>
        <w:rPr>
          <w:rFonts w:hint="eastAsia"/>
        </w:rPr>
      </w:pPr>
    </w:p>
    <w:p>
      <w:pPr>
        <w:pStyle w:val="2"/>
        <w:rPr>
          <w:rFonts w:hint="eastAsia"/>
        </w:rPr>
      </w:pPr>
    </w:p>
    <w:p>
      <w:pPr>
        <w:snapToGrid w:val="0"/>
        <w:spacing w:line="480" w:lineRule="auto"/>
        <w:jc w:val="center"/>
        <w:outlineLvl w:val="0"/>
        <w:rPr>
          <w:rFonts w:hint="eastAsia" w:eastAsia="黑体"/>
          <w:b/>
          <w:color w:val="auto"/>
          <w:sz w:val="52"/>
          <w:lang w:val="en-US" w:eastAsia="zh-CN"/>
        </w:rPr>
      </w:pPr>
      <w:r>
        <w:rPr>
          <w:rFonts w:hint="eastAsia" w:eastAsia="黑体"/>
          <w:color w:val="auto"/>
          <w:sz w:val="36"/>
          <w:szCs w:val="36"/>
        </w:rPr>
        <w:t>项目申报书</w:t>
      </w:r>
      <w:r>
        <w:rPr>
          <w:rFonts w:hint="eastAsia" w:eastAsia="黑体"/>
          <w:color w:val="auto"/>
          <w:sz w:val="36"/>
          <w:szCs w:val="36"/>
          <w:lang w:val="en-US" w:eastAsia="zh-CN"/>
        </w:rPr>
        <w:t>4</w:t>
      </w:r>
    </w:p>
    <w:tbl>
      <w:tblPr>
        <w:tblStyle w:val="4"/>
        <w:tblW w:w="9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828"/>
        <w:gridCol w:w="2356"/>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3830" w:type="dxa"/>
            <w:gridSpan w:val="2"/>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5486" w:type="dxa"/>
            <w:gridSpan w:val="2"/>
            <w:noWrap w:val="0"/>
            <w:vAlign w:val="center"/>
          </w:tcPr>
          <w:p>
            <w:pPr>
              <w:snapToGrid w:val="0"/>
              <w:rPr>
                <w:rFonts w:hint="eastAsia" w:ascii="宋体" w:hAnsi="宋体" w:cs="宋体"/>
                <w:color w:val="auto"/>
                <w:sz w:val="24"/>
              </w:rPr>
            </w:pPr>
            <w:r>
              <w:rPr>
                <w:rFonts w:hint="eastAsia" w:ascii="宋体" w:hAnsi="宋体" w:cs="宋体"/>
                <w:color w:val="auto"/>
                <w:sz w:val="24"/>
              </w:rPr>
              <w:t>林科院补助资金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3830" w:type="dxa"/>
            <w:gridSpan w:val="2"/>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项目属性</w:t>
            </w:r>
          </w:p>
        </w:tc>
        <w:tc>
          <w:tcPr>
            <w:tcW w:w="5486" w:type="dxa"/>
            <w:gridSpan w:val="2"/>
            <w:noWrap w:val="0"/>
            <w:vAlign w:val="center"/>
          </w:tcPr>
          <w:p>
            <w:pPr>
              <w:ind w:left="113"/>
              <w:rPr>
                <w:rFonts w:hint="eastAsia" w:ascii="宋体" w:hAnsi="宋体" w:cs="宋体"/>
                <w:color w:val="auto"/>
                <w:sz w:val="24"/>
              </w:rPr>
            </w:pPr>
            <w:r>
              <w:rPr>
                <w:rFonts w:hint="eastAsia" w:ascii="宋体" w:hAnsi="宋体" w:cs="宋体"/>
                <w:color w:val="auto"/>
                <w:sz w:val="24"/>
              </w:rPr>
              <w:t>1.新增项目</w:t>
            </w:r>
            <w:r>
              <w:rPr>
                <w:rFonts w:hint="eastAsia" w:ascii="MS Mincho" w:hAnsi="MS Mincho" w:eastAsia="宋体" w:cs="MS Mincho"/>
                <w:color w:val="auto"/>
                <w:spacing w:val="20"/>
                <w:sz w:val="24"/>
                <w:lang w:eastAsia="zh-CN"/>
              </w:rPr>
              <w:t>□</w:t>
            </w:r>
            <w:r>
              <w:rPr>
                <w:rFonts w:hint="eastAsia" w:ascii="宋体" w:hAnsi="宋体" w:cs="宋体"/>
                <w:color w:val="auto"/>
                <w:sz w:val="24"/>
              </w:rPr>
              <w:t xml:space="preserve">   </w:t>
            </w:r>
            <w:r>
              <w:rPr>
                <w:rFonts w:hint="eastAsia" w:ascii="宋体" w:hAnsi="宋体" w:cs="宋体"/>
                <w:color w:val="auto"/>
                <w:spacing w:val="20"/>
                <w:sz w:val="24"/>
              </w:rPr>
              <w:t>2.延续项目</w:t>
            </w:r>
            <w:r>
              <w:rPr>
                <w:rFonts w:hint="eastAsia" w:ascii="宋体" w:hAnsi="宋体" w:cs="宋体"/>
                <w:color w:val="auto"/>
                <w:spacing w:val="20"/>
                <w:sz w:val="24"/>
                <w:lang w:eastAsia="zh-CN"/>
              </w:rPr>
              <w:t>☑</w:t>
            </w:r>
            <w:r>
              <w:rPr>
                <w:rFonts w:hint="eastAsia" w:ascii="宋体" w:hAnsi="宋体" w:cs="宋体"/>
                <w:color w:val="auto"/>
                <w:spacing w:val="2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项目总投资</w:t>
            </w:r>
          </w:p>
        </w:tc>
        <w:tc>
          <w:tcPr>
            <w:tcW w:w="5486" w:type="dxa"/>
            <w:gridSpan w:val="2"/>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资金来源计划</w:t>
            </w:r>
          </w:p>
        </w:tc>
        <w:tc>
          <w:tcPr>
            <w:tcW w:w="2356"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金额</w:t>
            </w:r>
          </w:p>
        </w:tc>
        <w:tc>
          <w:tcPr>
            <w:tcW w:w="3130" w:type="dxa"/>
            <w:noWrap w:val="0"/>
            <w:vAlign w:val="center"/>
          </w:tcPr>
          <w:p>
            <w:pPr>
              <w:spacing w:line="440" w:lineRule="exact"/>
              <w:ind w:left="927"/>
              <w:rPr>
                <w:rFonts w:hint="eastAsia" w:ascii="宋体" w:hAnsi="宋体" w:cs="宋体"/>
                <w:color w:val="auto"/>
                <w:sz w:val="24"/>
              </w:rPr>
            </w:pPr>
            <w:r>
              <w:rPr>
                <w:rFonts w:hint="eastAsia" w:ascii="宋体" w:hAnsi="宋体" w:cs="宋体"/>
                <w:color w:val="auto"/>
                <w:sz w:val="24"/>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一、财政安排资金合计</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1、上级财政补助</w:t>
            </w:r>
          </w:p>
        </w:tc>
        <w:tc>
          <w:tcPr>
            <w:tcW w:w="2356"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2、本级财政安排（一般预算支出）</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3、本级基金安排</w:t>
            </w:r>
          </w:p>
        </w:tc>
        <w:tc>
          <w:tcPr>
            <w:tcW w:w="2356"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4、非税收入安排（一般预算支出）</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p>
        </w:tc>
        <w:tc>
          <w:tcPr>
            <w:tcW w:w="3130" w:type="dxa"/>
            <w:noWrap w:val="0"/>
            <w:vAlign w:val="center"/>
          </w:tcPr>
          <w:p>
            <w:pPr>
              <w:spacing w:line="440" w:lineRule="exact"/>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二、单位自筹资金</w:t>
            </w:r>
          </w:p>
        </w:tc>
        <w:tc>
          <w:tcPr>
            <w:tcW w:w="2356"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三、银行贷款</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四、国债</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五、其他资金投入</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9" w:hRule="atLeast"/>
          <w:jc w:val="center"/>
        </w:trPr>
        <w:tc>
          <w:tcPr>
            <w:tcW w:w="1002" w:type="dxa"/>
            <w:tcBorders>
              <w:bottom w:val="single" w:color="auto" w:sz="4" w:space="0"/>
            </w:tcBorders>
            <w:noWrap w:val="0"/>
            <w:vAlign w:val="center"/>
          </w:tcPr>
          <w:p>
            <w:pPr>
              <w:jc w:val="center"/>
              <w:rPr>
                <w:rFonts w:hint="eastAsia" w:ascii="宋体" w:hAnsi="宋体" w:cs="宋体"/>
                <w:color w:val="auto"/>
                <w:spacing w:val="52"/>
                <w:sz w:val="24"/>
              </w:rPr>
            </w:pPr>
            <w:r>
              <w:rPr>
                <w:rFonts w:hint="eastAsia" w:ascii="宋体" w:hAnsi="宋体" w:cs="宋体"/>
                <w:color w:val="auto"/>
                <w:spacing w:val="52"/>
                <w:sz w:val="24"/>
              </w:rPr>
              <w:t>项目主要内容及项目申请理由</w:t>
            </w:r>
          </w:p>
        </w:tc>
        <w:tc>
          <w:tcPr>
            <w:tcW w:w="8314" w:type="dxa"/>
            <w:gridSpan w:val="3"/>
            <w:tcBorders>
              <w:bottom w:val="single" w:color="auto" w:sz="4" w:space="0"/>
            </w:tcBorders>
            <w:noWrap w:val="0"/>
            <w:vAlign w:val="center"/>
          </w:tcPr>
          <w:p>
            <w:pPr>
              <w:snapToGrid w:val="0"/>
              <w:jc w:val="left"/>
              <w:rPr>
                <w:rFonts w:hint="eastAsia" w:ascii="宋体" w:hAnsi="宋体" w:cs="宋体"/>
                <w:sz w:val="24"/>
              </w:rPr>
            </w:pPr>
            <w:r>
              <w:rPr>
                <w:rFonts w:hint="eastAsia" w:ascii="宋体" w:hAnsi="宋体" w:cs="宋体"/>
                <w:b/>
                <w:color w:val="000000"/>
                <w:sz w:val="21"/>
                <w:szCs w:val="21"/>
                <w:lang w:bidi="ar"/>
              </w:rPr>
              <w:t>项目主要内容：</w:t>
            </w:r>
            <w:r>
              <w:rPr>
                <w:rFonts w:hint="eastAsia" w:ascii="仿宋_GB2312" w:hAnsi="宋体" w:cs="宋体"/>
                <w:color w:val="000000"/>
                <w:sz w:val="21"/>
                <w:szCs w:val="21"/>
                <w:lang w:bidi="ar"/>
              </w:rPr>
              <w:t>配合河池市木本粮油产业发展中心进行全方位工作，</w:t>
            </w:r>
            <w:r>
              <w:rPr>
                <w:rFonts w:hint="eastAsia" w:ascii="宋体" w:hAnsi="宋体" w:cs="宋体"/>
                <w:sz w:val="24"/>
                <w:lang w:bidi="ar"/>
              </w:rPr>
              <w:t>进行示范基地建设，开展技术培训工作。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lang w:val="en-US" w:eastAsia="zh-CN"/>
              </w:rPr>
            </w:pPr>
            <w:r>
              <w:rPr>
                <w:rFonts w:hint="eastAsia" w:ascii="宋体" w:hAnsi="宋体" w:cs="宋体"/>
                <w:b/>
                <w:color w:val="000000"/>
                <w:sz w:val="21"/>
                <w:szCs w:val="21"/>
                <w:lang w:bidi="ar"/>
              </w:rPr>
              <w:t>项目申请理由：</w:t>
            </w:r>
            <w:r>
              <w:rPr>
                <w:rFonts w:hint="eastAsia" w:ascii="宋体" w:hAnsi="宋体" w:cs="宋体"/>
                <w:color w:val="000000"/>
                <w:sz w:val="21"/>
                <w:szCs w:val="21"/>
                <w:lang w:bidi="ar"/>
              </w:rPr>
              <w:t>为全面落实好市委、市人民政府的决策和部署，坚定推动全市核桃产业健康发展不动摇，我院工作人员配合河池市木本粮油产业发展中心对全市的核桃进行科学管护、提供技术和后勤支撑，加强种植技术的宣传，加大技术培训，建立技术协作关系，努力形成核桃管护的技术支撑。维持我院的正常开支，处理我院的各项工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jc w:val="center"/>
        </w:trPr>
        <w:tc>
          <w:tcPr>
            <w:tcW w:w="3830" w:type="dxa"/>
            <w:gridSpan w:val="2"/>
            <w:tcBorders>
              <w:bottom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项目组织实施条件</w:t>
            </w:r>
          </w:p>
        </w:tc>
        <w:tc>
          <w:tcPr>
            <w:tcW w:w="548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rPr>
            </w:pPr>
            <w:r>
              <w:rPr>
                <w:rFonts w:hint="eastAsia" w:ascii="仿宋_GB2312" w:hAnsi="宋体" w:cs="宋体"/>
                <w:color w:val="000000"/>
                <w:sz w:val="24"/>
                <w:lang w:bidi="ar"/>
              </w:rPr>
              <w:t>河池市林业科学研究院核定编制</w:t>
            </w:r>
            <w:r>
              <w:rPr>
                <w:rFonts w:ascii="仿宋_GB2312" w:hAnsi="宋体" w:eastAsia="仿宋_GB2312" w:cs="仿宋_GB2312"/>
                <w:color w:val="000000"/>
                <w:sz w:val="24"/>
                <w:lang w:bidi="ar"/>
              </w:rPr>
              <w:t>25</w:t>
            </w:r>
            <w:r>
              <w:rPr>
                <w:rFonts w:hint="eastAsia" w:ascii="宋体" w:hAnsi="宋体" w:cs="宋体"/>
                <w:color w:val="000000"/>
                <w:sz w:val="24"/>
                <w:lang w:bidi="ar"/>
              </w:rPr>
              <w:t>名，现在在职在编职工</w:t>
            </w:r>
            <w:r>
              <w:rPr>
                <w:rFonts w:hint="eastAsia" w:ascii="仿宋_GB2312" w:hAnsi="宋体" w:cs="宋体"/>
                <w:color w:val="000000"/>
                <w:sz w:val="24"/>
                <w:lang w:val="en-US" w:eastAsia="zh-CN" w:bidi="ar"/>
              </w:rPr>
              <w:t>20</w:t>
            </w:r>
            <w:r>
              <w:rPr>
                <w:rFonts w:hint="eastAsia" w:ascii="仿宋_GB2312" w:hAnsi="宋体" w:cs="宋体"/>
                <w:color w:val="000000"/>
                <w:sz w:val="24"/>
                <w:lang w:bidi="ar"/>
              </w:rPr>
              <w:t>人，其中具有高级职称</w:t>
            </w:r>
            <w:r>
              <w:rPr>
                <w:rFonts w:hint="eastAsia" w:ascii="仿宋_GB2312" w:hAnsi="宋体" w:cs="宋体"/>
                <w:color w:val="000000"/>
                <w:sz w:val="24"/>
                <w:lang w:val="en-US" w:eastAsia="zh-CN" w:bidi="ar"/>
              </w:rPr>
              <w:t>4</w:t>
            </w:r>
            <w:r>
              <w:rPr>
                <w:rFonts w:hint="eastAsia" w:ascii="仿宋_GB2312" w:hAnsi="宋体" w:cs="宋体"/>
                <w:color w:val="000000"/>
                <w:sz w:val="24"/>
                <w:lang w:bidi="ar"/>
              </w:rPr>
              <w:t>人，中级职称</w:t>
            </w:r>
            <w:r>
              <w:rPr>
                <w:rFonts w:hint="eastAsia" w:ascii="仿宋_GB2312" w:hAnsi="宋体" w:cs="宋体"/>
                <w:color w:val="000000"/>
                <w:sz w:val="24"/>
                <w:lang w:val="en-US" w:eastAsia="zh-CN" w:bidi="ar"/>
              </w:rPr>
              <w:t>7</w:t>
            </w:r>
            <w:r>
              <w:rPr>
                <w:rFonts w:hint="eastAsia" w:ascii="仿宋_GB2312" w:hAnsi="宋体" w:cs="宋体"/>
                <w:color w:val="000000"/>
                <w:sz w:val="24"/>
                <w:lang w:bidi="ar"/>
              </w:rPr>
              <w:t>人，初级职称</w:t>
            </w:r>
            <w:r>
              <w:rPr>
                <w:rFonts w:ascii="仿宋_GB2312" w:hAnsi="宋体" w:cs="宋体"/>
                <w:color w:val="000000"/>
                <w:sz w:val="24"/>
                <w:lang w:bidi="ar"/>
              </w:rPr>
              <w:t>8</w:t>
            </w:r>
            <w:r>
              <w:rPr>
                <w:rFonts w:hint="eastAsia" w:ascii="仿宋_GB2312" w:hAnsi="宋体" w:cs="宋体"/>
                <w:color w:val="000000"/>
                <w:sz w:val="24"/>
                <w:lang w:bidi="ar"/>
              </w:rPr>
              <w:t>人。</w:t>
            </w:r>
          </w:p>
        </w:tc>
      </w:tr>
    </w:tbl>
    <w:p>
      <w:pPr>
        <w:rPr>
          <w:rFonts w:hint="eastAsia" w:ascii="黑体" w:hAnsi="黑体" w:eastAsia="黑体" w:cs="黑体"/>
          <w:bCs/>
          <w:color w:val="auto"/>
          <w:spacing w:val="-17"/>
          <w:sz w:val="36"/>
          <w:szCs w:val="36"/>
        </w:rPr>
      </w:pPr>
    </w:p>
    <w:p>
      <w:pPr>
        <w:rPr>
          <w:rFonts w:hint="eastAsia" w:ascii="黑体" w:hAnsi="黑体" w:eastAsia="黑体" w:cs="黑体"/>
          <w:bCs/>
          <w:color w:val="auto"/>
          <w:spacing w:val="-17"/>
          <w:sz w:val="36"/>
          <w:szCs w:val="36"/>
        </w:rPr>
      </w:pPr>
    </w:p>
    <w:p>
      <w:pPr>
        <w:pStyle w:val="2"/>
        <w:rPr>
          <w:rFonts w:hint="eastAsia" w:ascii="黑体" w:hAnsi="黑体" w:eastAsia="黑体" w:cs="黑体"/>
          <w:bCs/>
          <w:color w:val="auto"/>
          <w:spacing w:val="-17"/>
          <w:sz w:val="36"/>
          <w:szCs w:val="36"/>
        </w:rPr>
      </w:pPr>
    </w:p>
    <w:p>
      <w:pPr>
        <w:rPr>
          <w:rFonts w:hint="eastAsia"/>
        </w:rPr>
      </w:pPr>
    </w:p>
    <w:p>
      <w:pPr>
        <w:jc w:val="center"/>
        <w:rPr>
          <w:rFonts w:hint="eastAsia" w:ascii="黑体" w:hAnsi="黑体" w:eastAsia="黑体" w:cs="黑体"/>
          <w:bCs/>
          <w:color w:val="auto"/>
          <w:spacing w:val="-17"/>
          <w:sz w:val="36"/>
          <w:lang w:val="en-US" w:eastAsia="zh-CN"/>
        </w:rPr>
      </w:pPr>
      <w:r>
        <w:rPr>
          <w:rFonts w:hint="eastAsia" w:ascii="黑体" w:hAnsi="黑体" w:eastAsia="黑体" w:cs="黑体"/>
          <w:bCs/>
          <w:color w:val="auto"/>
          <w:spacing w:val="-17"/>
          <w:sz w:val="36"/>
          <w:szCs w:val="36"/>
        </w:rPr>
        <w:t>专项经费</w:t>
      </w:r>
      <w:r>
        <w:rPr>
          <w:rFonts w:hint="eastAsia" w:ascii="黑体" w:hAnsi="黑体" w:eastAsia="黑体" w:cs="黑体"/>
          <w:bCs/>
          <w:color w:val="auto"/>
          <w:spacing w:val="-17"/>
          <w:sz w:val="36"/>
        </w:rPr>
        <w:t>项目支出预算明细表</w:t>
      </w:r>
      <w:r>
        <w:rPr>
          <w:rFonts w:hint="eastAsia" w:ascii="黑体" w:hAnsi="黑体" w:eastAsia="黑体" w:cs="黑体"/>
          <w:bCs/>
          <w:color w:val="auto"/>
          <w:spacing w:val="-17"/>
          <w:sz w:val="36"/>
          <w:lang w:val="en-US" w:eastAsia="zh-CN"/>
        </w:rPr>
        <w:t>4</w:t>
      </w:r>
    </w:p>
    <w:p>
      <w:pPr>
        <w:jc w:val="center"/>
        <w:rPr>
          <w:rFonts w:hint="eastAsia" w:ascii="仿宋" w:hAnsi="宋体" w:eastAsia="仿宋"/>
          <w:color w:val="auto"/>
        </w:rPr>
      </w:pPr>
      <w:r>
        <w:rPr>
          <w:rFonts w:hint="eastAsia" w:ascii="仿宋_GB2312"/>
          <w:b/>
          <w:color w:val="auto"/>
          <w:sz w:val="44"/>
        </w:rPr>
        <w:t xml:space="preserve">                          </w:t>
      </w:r>
      <w:r>
        <w:rPr>
          <w:rFonts w:hint="eastAsia" w:ascii="仿宋_GB2312"/>
          <w:b/>
          <w:color w:val="auto"/>
          <w:sz w:val="28"/>
        </w:rPr>
        <w:t>单位：万元</w:t>
      </w:r>
      <w:r>
        <w:rPr>
          <w:rFonts w:hint="eastAsia" w:ascii="仿宋" w:hAnsi="宋体" w:eastAsia="仿宋"/>
          <w:color w:val="auto"/>
        </w:rPr>
        <w:t xml:space="preserve">     </w:t>
      </w:r>
    </w:p>
    <w:tbl>
      <w:tblPr>
        <w:tblStyle w:val="4"/>
        <w:tblW w:w="8327" w:type="dxa"/>
        <w:tblInd w:w="196" w:type="dxa"/>
        <w:tblLayout w:type="fixed"/>
        <w:tblCellMar>
          <w:top w:w="0" w:type="dxa"/>
          <w:left w:w="54" w:type="dxa"/>
          <w:bottom w:w="0" w:type="dxa"/>
          <w:right w:w="54" w:type="dxa"/>
        </w:tblCellMar>
      </w:tblPr>
      <w:tblGrid>
        <w:gridCol w:w="2198"/>
        <w:gridCol w:w="3614"/>
        <w:gridCol w:w="2515"/>
      </w:tblGrid>
      <w:tr>
        <w:tblPrEx>
          <w:tblLayout w:type="fixed"/>
          <w:tblCellMar>
            <w:top w:w="0" w:type="dxa"/>
            <w:left w:w="54" w:type="dxa"/>
            <w:bottom w:w="0" w:type="dxa"/>
            <w:right w:w="54" w:type="dxa"/>
          </w:tblCellMar>
        </w:tblPrEx>
        <w:trPr>
          <w:trHeight w:val="454" w:hRule="exact"/>
        </w:trPr>
        <w:tc>
          <w:tcPr>
            <w:tcW w:w="2198" w:type="dxa"/>
            <w:vMerge w:val="restart"/>
            <w:tcBorders>
              <w:top w:val="single" w:color="auto" w:sz="4" w:space="0"/>
              <w:left w:val="single" w:color="auto" w:sz="4" w:space="0"/>
              <w:right w:val="single" w:color="auto" w:sz="4" w:space="0"/>
            </w:tcBorders>
            <w:noWrap w:val="0"/>
            <w:vAlign w:val="top"/>
          </w:tcPr>
          <w:p>
            <w:pPr>
              <w:spacing w:line="320" w:lineRule="exact"/>
              <w:rPr>
                <w:rFonts w:hint="eastAsia" w:ascii="宋体" w:hAnsi="宋体" w:cs="宋体"/>
                <w:color w:val="auto"/>
                <w:sz w:val="24"/>
              </w:rPr>
            </w:pPr>
            <w:r>
              <w:rPr>
                <w:rFonts w:hint="eastAsia" w:ascii="宋体" w:hAnsi="宋体" w:cs="宋体"/>
                <w:color w:val="auto"/>
                <w:sz w:val="24"/>
              </w:rPr>
              <w:t xml:space="preserve">      项</w:t>
            </w:r>
          </w:p>
          <w:p>
            <w:pPr>
              <w:spacing w:line="320" w:lineRule="exact"/>
              <w:rPr>
                <w:rFonts w:hint="eastAsia" w:ascii="宋体" w:hAnsi="宋体" w:cs="宋体"/>
                <w:color w:val="auto"/>
                <w:sz w:val="24"/>
              </w:rPr>
            </w:pPr>
            <w:r>
              <w:rPr>
                <w:rFonts w:hint="eastAsia" w:ascii="宋体" w:hAnsi="宋体" w:cs="宋体"/>
                <w:color w:val="auto"/>
                <w:sz w:val="24"/>
              </w:rPr>
              <w:t xml:space="preserve">      目</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支</w:t>
            </w:r>
          </w:p>
          <w:p>
            <w:pPr>
              <w:spacing w:line="400" w:lineRule="exact"/>
              <w:rPr>
                <w:rFonts w:hint="eastAsia" w:ascii="宋体" w:hAnsi="宋体" w:cs="宋体"/>
                <w:color w:val="auto"/>
                <w:sz w:val="24"/>
              </w:rPr>
            </w:pPr>
            <w:r>
              <w:rPr>
                <w:rFonts w:hint="eastAsia" w:ascii="宋体" w:hAnsi="宋体" w:cs="宋体"/>
                <w:color w:val="auto"/>
                <w:sz w:val="24"/>
              </w:rPr>
              <w:t xml:space="preserve">      出</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明</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细</w:t>
            </w:r>
          </w:p>
          <w:p>
            <w:pPr>
              <w:spacing w:line="320" w:lineRule="exact"/>
              <w:rPr>
                <w:rFonts w:hint="eastAsia" w:ascii="宋体" w:hAnsi="宋体" w:cs="宋体"/>
                <w:color w:val="auto"/>
                <w:sz w:val="24"/>
              </w:rPr>
            </w:pPr>
            <w:r>
              <w:rPr>
                <w:rFonts w:hint="eastAsia" w:ascii="宋体" w:hAnsi="宋体" w:cs="宋体"/>
                <w:color w:val="auto"/>
                <w:sz w:val="24"/>
              </w:rPr>
              <w:t xml:space="preserve">   </w:t>
            </w:r>
          </w:p>
        </w:tc>
        <w:tc>
          <w:tcPr>
            <w:tcW w:w="3614" w:type="dxa"/>
            <w:tcBorders>
              <w:top w:val="single" w:color="auto" w:sz="6" w:space="0"/>
              <w:left w:val="single" w:color="auto" w:sz="4" w:space="0"/>
              <w:bottom w:val="single" w:color="auto" w:sz="6"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支出明细项目</w:t>
            </w:r>
          </w:p>
        </w:tc>
        <w:tc>
          <w:tcPr>
            <w:tcW w:w="2515"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840" w:firstLineChars="350"/>
              <w:jc w:val="center"/>
              <w:rPr>
                <w:rFonts w:hint="eastAsia" w:ascii="宋体" w:hAnsi="宋体" w:cs="宋体"/>
                <w:color w:val="auto"/>
                <w:sz w:val="24"/>
              </w:rPr>
            </w:pPr>
            <w:r>
              <w:rPr>
                <w:rFonts w:hint="eastAsia" w:ascii="宋体" w:hAnsi="宋体" w:cs="宋体"/>
                <w:color w:val="auto"/>
                <w:sz w:val="24"/>
              </w:rPr>
              <w:t>金       额</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left w:val="single" w:color="auto" w:sz="4" w:space="0"/>
              <w:bottom w:val="single" w:color="auto" w:sz="4"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其他社会保障缴费</w:t>
            </w:r>
          </w:p>
        </w:tc>
        <w:tc>
          <w:tcPr>
            <w:tcW w:w="2515" w:type="dxa"/>
            <w:tcBorders>
              <w:top w:val="single" w:color="auto" w:sz="6" w:space="0"/>
              <w:left w:val="single" w:color="auto" w:sz="6" w:space="0"/>
              <w:bottom w:val="single" w:color="auto" w:sz="4" w:space="0"/>
              <w:right w:val="single" w:color="auto" w:sz="6"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2.5</w:t>
            </w:r>
          </w:p>
        </w:tc>
      </w:tr>
      <w:tr>
        <w:tblPrEx>
          <w:tblLayout w:type="fixed"/>
          <w:tblCellMar>
            <w:top w:w="0" w:type="dxa"/>
            <w:left w:w="54" w:type="dxa"/>
            <w:bottom w:w="0" w:type="dxa"/>
            <w:right w:w="54" w:type="dxa"/>
          </w:tblCellMar>
        </w:tblPrEx>
        <w:trPr>
          <w:trHeight w:val="709"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lang w:val="en-US" w:eastAsia="zh-CN"/>
              </w:rPr>
            </w:pPr>
            <w:r>
              <w:rPr>
                <w:rFonts w:hint="eastAsia" w:ascii="宋体" w:hAnsi="宋体" w:cs="宋体"/>
                <w:color w:val="auto"/>
                <w:sz w:val="24"/>
              </w:rPr>
              <w:t>其他工资福利支出</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Layout w:type="fixed"/>
          <w:tblCellMar>
            <w:top w:w="0" w:type="dxa"/>
            <w:left w:w="54" w:type="dxa"/>
            <w:bottom w:w="0" w:type="dxa"/>
            <w:right w:w="54" w:type="dxa"/>
          </w:tblCellMar>
        </w:tblPrEx>
        <w:trPr>
          <w:trHeight w:val="622"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办公费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r>
      <w:tr>
        <w:tblPrEx>
          <w:tblLayout w:type="fixed"/>
          <w:tblCellMar>
            <w:top w:w="0" w:type="dxa"/>
            <w:left w:w="54" w:type="dxa"/>
            <w:bottom w:w="0" w:type="dxa"/>
            <w:right w:w="54" w:type="dxa"/>
          </w:tblCellMar>
        </w:tblPrEx>
        <w:trPr>
          <w:trHeight w:val="454" w:hRule="exact"/>
        </w:trPr>
        <w:tc>
          <w:tcPr>
            <w:tcW w:w="2198" w:type="dxa"/>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邮电费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r>
      <w:tr>
        <w:tblPrEx>
          <w:tblLayout w:type="fixed"/>
          <w:tblCellMar>
            <w:top w:w="0" w:type="dxa"/>
            <w:left w:w="54" w:type="dxa"/>
            <w:bottom w:w="0" w:type="dxa"/>
            <w:right w:w="54" w:type="dxa"/>
          </w:tblCellMar>
        </w:tblPrEx>
        <w:trPr>
          <w:trHeight w:val="454" w:hRule="exact"/>
        </w:trPr>
        <w:tc>
          <w:tcPr>
            <w:tcW w:w="2198" w:type="dxa"/>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差旅费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r>
      <w:tr>
        <w:tblPrEx>
          <w:tblLayout w:type="fixed"/>
          <w:tblCellMar>
            <w:top w:w="0" w:type="dxa"/>
            <w:left w:w="54" w:type="dxa"/>
            <w:bottom w:w="0" w:type="dxa"/>
            <w:right w:w="54" w:type="dxa"/>
          </w:tblCellMar>
        </w:tblPrEx>
        <w:trPr>
          <w:trHeight w:val="454" w:hRule="exact"/>
        </w:trPr>
        <w:tc>
          <w:tcPr>
            <w:tcW w:w="2198" w:type="dxa"/>
            <w:tcBorders>
              <w:left w:val="single" w:color="auto" w:sz="4" w:space="0"/>
              <w:bottom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公车用车运行维护费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r>
      <w:tr>
        <w:tblPrEx>
          <w:tblLayout w:type="fixed"/>
          <w:tblCellMar>
            <w:top w:w="0" w:type="dxa"/>
            <w:left w:w="54" w:type="dxa"/>
            <w:bottom w:w="0" w:type="dxa"/>
            <w:right w:w="54" w:type="dxa"/>
          </w:tblCellMar>
        </w:tblPrEx>
        <w:trPr>
          <w:trHeight w:val="4611" w:hRule="atLeast"/>
        </w:trPr>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测</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算</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依</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据</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及</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说</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明</w:t>
            </w:r>
          </w:p>
        </w:tc>
        <w:tc>
          <w:tcPr>
            <w:tcW w:w="612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rPr>
            </w:pPr>
            <w:r>
              <w:rPr>
                <w:rFonts w:hint="eastAsia" w:ascii="宋体" w:hAnsi="宋体"/>
                <w:color w:val="000000"/>
                <w:sz w:val="24"/>
              </w:rPr>
              <w:t>林科院补助资金依据河发〔2015〕16号文。为全面落实好市委、市人民政府的决策和部署，坚定推动全市核桃产业的健康发展不动摇，该项资金用于保证市林科院的正常运转及全市核桃技术的支撑，配合河池市木本粮油产业发展中心对全市的核桃进行科学管护、提供技术和后勤支撑，加强种植技术的宣传，加大技术培训，建立技术协作关系，努力形成核桃管护的技术支撑。项目预算</w:t>
            </w:r>
            <w:r>
              <w:rPr>
                <w:rFonts w:hint="eastAsia" w:ascii="宋体" w:hAnsi="宋体"/>
                <w:color w:val="000000"/>
                <w:sz w:val="24"/>
                <w:lang w:val="en-US" w:eastAsia="zh-CN"/>
              </w:rPr>
              <w:t>10</w:t>
            </w:r>
            <w:r>
              <w:rPr>
                <w:rFonts w:hint="eastAsia" w:ascii="宋体" w:hAnsi="宋体"/>
                <w:color w:val="000000"/>
                <w:sz w:val="24"/>
              </w:rPr>
              <w:t>万元，</w:t>
            </w:r>
            <w:r>
              <w:rPr>
                <w:rFonts w:hint="eastAsia" w:ascii="宋体" w:hAnsi="宋体" w:cs="宋体"/>
                <w:color w:val="auto"/>
                <w:sz w:val="24"/>
              </w:rPr>
              <w:t>其他社会保障缴费2.5万、其他工资福利支出</w:t>
            </w:r>
            <w:r>
              <w:rPr>
                <w:rFonts w:hint="eastAsia" w:ascii="宋体" w:hAnsi="宋体" w:cs="宋体"/>
                <w:color w:val="auto"/>
                <w:sz w:val="24"/>
                <w:lang w:val="en-US" w:eastAsia="zh-CN"/>
              </w:rPr>
              <w:t>1</w:t>
            </w:r>
            <w:r>
              <w:rPr>
                <w:rFonts w:hint="eastAsia" w:ascii="宋体" w:hAnsi="宋体" w:cs="宋体"/>
                <w:color w:val="auto"/>
                <w:sz w:val="24"/>
              </w:rPr>
              <w:t>万、办公费</w:t>
            </w:r>
            <w:r>
              <w:rPr>
                <w:rFonts w:hint="eastAsia" w:ascii="宋体" w:hAnsi="宋体" w:cs="宋体"/>
                <w:color w:val="auto"/>
                <w:sz w:val="24"/>
                <w:lang w:val="en-US" w:eastAsia="zh-CN"/>
              </w:rPr>
              <w:t>2</w:t>
            </w:r>
            <w:r>
              <w:rPr>
                <w:rFonts w:hint="eastAsia" w:ascii="宋体" w:hAnsi="宋体" w:cs="宋体"/>
                <w:color w:val="auto"/>
                <w:sz w:val="24"/>
              </w:rPr>
              <w:t>万、邮电费</w:t>
            </w:r>
            <w:r>
              <w:rPr>
                <w:rFonts w:hint="eastAsia" w:ascii="宋体" w:hAnsi="宋体" w:cs="宋体"/>
                <w:color w:val="auto"/>
                <w:sz w:val="24"/>
                <w:lang w:val="en-US" w:eastAsia="zh-CN"/>
              </w:rPr>
              <w:t>1.3</w:t>
            </w:r>
            <w:r>
              <w:rPr>
                <w:rFonts w:hint="eastAsia" w:ascii="宋体" w:hAnsi="宋体" w:cs="宋体"/>
                <w:color w:val="auto"/>
                <w:sz w:val="24"/>
              </w:rPr>
              <w:t>万、差旅费</w:t>
            </w:r>
            <w:r>
              <w:rPr>
                <w:rFonts w:hint="eastAsia" w:ascii="宋体" w:hAnsi="宋体" w:cs="宋体"/>
                <w:color w:val="auto"/>
                <w:sz w:val="24"/>
                <w:lang w:val="en-US" w:eastAsia="zh-CN"/>
              </w:rPr>
              <w:t>1.2</w:t>
            </w:r>
            <w:r>
              <w:rPr>
                <w:rFonts w:hint="eastAsia" w:ascii="宋体" w:hAnsi="宋体" w:cs="宋体"/>
                <w:color w:val="auto"/>
                <w:sz w:val="24"/>
              </w:rPr>
              <w:t>万、公车用车运行维护费2万。</w:t>
            </w:r>
          </w:p>
        </w:tc>
      </w:tr>
    </w:tbl>
    <w:p>
      <w:pPr>
        <w:snapToGrid w:val="0"/>
        <w:spacing w:line="480" w:lineRule="auto"/>
        <w:jc w:val="center"/>
        <w:rPr>
          <w:rFonts w:hint="eastAsia" w:eastAsia="黑体"/>
          <w:color w:val="auto"/>
          <w:sz w:val="36"/>
          <w:szCs w:val="36"/>
        </w:rPr>
      </w:pPr>
    </w:p>
    <w:p>
      <w:pPr>
        <w:snapToGrid w:val="0"/>
        <w:spacing w:line="480" w:lineRule="auto"/>
        <w:jc w:val="center"/>
        <w:rPr>
          <w:rFonts w:hint="eastAsia" w:eastAsia="黑体"/>
          <w:color w:val="auto"/>
          <w:sz w:val="36"/>
          <w:szCs w:val="36"/>
        </w:rPr>
      </w:pPr>
    </w:p>
    <w:p>
      <w:pPr>
        <w:snapToGrid w:val="0"/>
        <w:spacing w:line="480" w:lineRule="auto"/>
        <w:jc w:val="center"/>
        <w:rPr>
          <w:rFonts w:hint="eastAsia" w:eastAsia="黑体"/>
          <w:color w:val="auto"/>
          <w:sz w:val="36"/>
          <w:szCs w:val="36"/>
        </w:rPr>
      </w:pPr>
    </w:p>
    <w:p>
      <w:pPr>
        <w:snapToGrid w:val="0"/>
        <w:spacing w:line="480" w:lineRule="auto"/>
        <w:jc w:val="center"/>
        <w:rPr>
          <w:rFonts w:hint="eastAsia" w:eastAsia="黑体"/>
          <w:color w:val="auto"/>
          <w:sz w:val="36"/>
          <w:szCs w:val="36"/>
        </w:rPr>
      </w:pPr>
    </w:p>
    <w:p>
      <w:pPr>
        <w:snapToGrid w:val="0"/>
        <w:spacing w:line="480" w:lineRule="auto"/>
        <w:jc w:val="center"/>
        <w:rPr>
          <w:rFonts w:hint="eastAsia" w:eastAsia="黑体"/>
          <w:color w:val="auto"/>
          <w:sz w:val="36"/>
          <w:szCs w:val="36"/>
        </w:rPr>
      </w:pPr>
    </w:p>
    <w:p>
      <w:pPr>
        <w:snapToGrid w:val="0"/>
        <w:spacing w:line="480" w:lineRule="auto"/>
        <w:jc w:val="center"/>
        <w:rPr>
          <w:rFonts w:hint="default" w:eastAsia="黑体"/>
          <w:b/>
          <w:color w:val="auto"/>
          <w:sz w:val="52"/>
          <w:lang w:val="en-US" w:eastAsia="zh-CN"/>
        </w:rPr>
      </w:pPr>
      <w:r>
        <w:rPr>
          <w:rFonts w:hint="eastAsia" w:eastAsia="黑体"/>
          <w:color w:val="auto"/>
          <w:sz w:val="36"/>
          <w:szCs w:val="36"/>
        </w:rPr>
        <w:t>项目申报书</w:t>
      </w:r>
      <w:r>
        <w:rPr>
          <w:rFonts w:hint="eastAsia" w:eastAsia="黑体"/>
          <w:color w:val="auto"/>
          <w:sz w:val="36"/>
          <w:szCs w:val="36"/>
          <w:lang w:val="en-US" w:eastAsia="zh-CN"/>
        </w:rPr>
        <w:t>5</w:t>
      </w:r>
    </w:p>
    <w:tbl>
      <w:tblPr>
        <w:tblStyle w:val="4"/>
        <w:tblW w:w="9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828"/>
        <w:gridCol w:w="2356"/>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3830" w:type="dxa"/>
            <w:gridSpan w:val="2"/>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项目名称</w:t>
            </w:r>
          </w:p>
        </w:tc>
        <w:tc>
          <w:tcPr>
            <w:tcW w:w="5486" w:type="dxa"/>
            <w:gridSpan w:val="2"/>
            <w:noWrap w:val="0"/>
            <w:vAlign w:val="center"/>
          </w:tcPr>
          <w:p>
            <w:pPr>
              <w:snapToGrid w:val="0"/>
              <w:rPr>
                <w:rFonts w:hint="eastAsia" w:ascii="宋体" w:hAnsi="宋体" w:eastAsia="宋体" w:cs="宋体"/>
                <w:color w:val="auto"/>
                <w:sz w:val="24"/>
                <w:lang w:eastAsia="zh-CN"/>
              </w:rPr>
            </w:pPr>
            <w:r>
              <w:rPr>
                <w:rFonts w:hint="eastAsia" w:ascii="宋体" w:hAnsi="宋体" w:cs="宋体"/>
                <w:color w:val="auto"/>
                <w:sz w:val="24"/>
              </w:rPr>
              <w:t>林科院补助</w:t>
            </w:r>
            <w:r>
              <w:rPr>
                <w:rFonts w:hint="eastAsia" w:ascii="宋体" w:hAnsi="宋体" w:cs="宋体"/>
                <w:color w:val="auto"/>
                <w:sz w:val="24"/>
                <w:lang w:eastAsia="zh-CN"/>
              </w:rPr>
              <w:t>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3830" w:type="dxa"/>
            <w:gridSpan w:val="2"/>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项目属性</w:t>
            </w:r>
          </w:p>
        </w:tc>
        <w:tc>
          <w:tcPr>
            <w:tcW w:w="5486" w:type="dxa"/>
            <w:gridSpan w:val="2"/>
            <w:noWrap w:val="0"/>
            <w:vAlign w:val="center"/>
          </w:tcPr>
          <w:p>
            <w:pPr>
              <w:ind w:left="113"/>
              <w:rPr>
                <w:rFonts w:hint="eastAsia" w:ascii="宋体" w:hAnsi="宋体" w:cs="宋体"/>
                <w:color w:val="auto"/>
                <w:sz w:val="24"/>
              </w:rPr>
            </w:pPr>
            <w:r>
              <w:rPr>
                <w:rFonts w:hint="eastAsia" w:ascii="宋体" w:hAnsi="宋体" w:cs="宋体"/>
                <w:color w:val="auto"/>
                <w:sz w:val="24"/>
              </w:rPr>
              <w:t>1.新增项目</w:t>
            </w:r>
            <w:r>
              <w:rPr>
                <w:rFonts w:hint="eastAsia" w:ascii="MS Mincho" w:hAnsi="MS Mincho" w:cs="MS Mincho"/>
                <w:color w:val="auto"/>
                <w:spacing w:val="20"/>
                <w:sz w:val="24"/>
                <w:lang w:eastAsia="zh-CN"/>
              </w:rPr>
              <w:t>☑</w:t>
            </w:r>
            <w:r>
              <w:rPr>
                <w:rFonts w:hint="eastAsia" w:ascii="宋体" w:hAnsi="宋体" w:cs="宋体"/>
                <w:color w:val="auto"/>
                <w:sz w:val="24"/>
              </w:rPr>
              <w:t xml:space="preserve">   </w:t>
            </w:r>
            <w:r>
              <w:rPr>
                <w:rFonts w:hint="eastAsia" w:ascii="宋体" w:hAnsi="宋体" w:cs="宋体"/>
                <w:color w:val="auto"/>
                <w:spacing w:val="20"/>
                <w:sz w:val="24"/>
              </w:rPr>
              <w:t>2.延续项目</w:t>
            </w:r>
            <w:r>
              <w:rPr>
                <w:rFonts w:hint="eastAsia" w:ascii="宋体" w:hAnsi="宋体" w:cs="宋体"/>
                <w:color w:val="auto"/>
                <w:spacing w:val="20"/>
                <w:sz w:val="24"/>
                <w:lang w:eastAsia="zh-CN"/>
              </w:rPr>
              <w:t>□</w:t>
            </w:r>
            <w:r>
              <w:rPr>
                <w:rFonts w:hint="eastAsia" w:ascii="宋体" w:hAnsi="宋体" w:cs="宋体"/>
                <w:color w:val="auto"/>
                <w:spacing w:val="2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项目总投资</w:t>
            </w:r>
          </w:p>
        </w:tc>
        <w:tc>
          <w:tcPr>
            <w:tcW w:w="5486" w:type="dxa"/>
            <w:gridSpan w:val="2"/>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资金来源计划</w:t>
            </w:r>
          </w:p>
        </w:tc>
        <w:tc>
          <w:tcPr>
            <w:tcW w:w="2356" w:type="dxa"/>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金额</w:t>
            </w:r>
          </w:p>
        </w:tc>
        <w:tc>
          <w:tcPr>
            <w:tcW w:w="3130" w:type="dxa"/>
            <w:noWrap w:val="0"/>
            <w:vAlign w:val="center"/>
          </w:tcPr>
          <w:p>
            <w:pPr>
              <w:spacing w:line="440" w:lineRule="exact"/>
              <w:ind w:left="927"/>
              <w:rPr>
                <w:rFonts w:hint="eastAsia" w:ascii="宋体" w:hAnsi="宋体" w:cs="宋体"/>
                <w:color w:val="auto"/>
                <w:sz w:val="24"/>
              </w:rPr>
            </w:pPr>
            <w:r>
              <w:rPr>
                <w:rFonts w:hint="eastAsia" w:ascii="宋体" w:hAnsi="宋体" w:cs="宋体"/>
                <w:color w:val="auto"/>
                <w:sz w:val="24"/>
              </w:rPr>
              <w:t>实施年限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一、财政安排资金合计</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17.00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1、上级财政补助</w:t>
            </w:r>
          </w:p>
        </w:tc>
        <w:tc>
          <w:tcPr>
            <w:tcW w:w="2356"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2、本级财政安排（一般预算支出）</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3、本级基金安排</w:t>
            </w:r>
          </w:p>
        </w:tc>
        <w:tc>
          <w:tcPr>
            <w:tcW w:w="2356"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4、非税收入安排（一般预算支出）</w:t>
            </w:r>
          </w:p>
        </w:tc>
        <w:tc>
          <w:tcPr>
            <w:tcW w:w="2356" w:type="dxa"/>
            <w:noWrap w:val="0"/>
            <w:vAlign w:val="center"/>
          </w:tcPr>
          <w:p>
            <w:pPr>
              <w:spacing w:line="440" w:lineRule="exact"/>
              <w:ind w:firstLine="240" w:firstLineChars="1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17.00</w:t>
            </w:r>
          </w:p>
        </w:tc>
        <w:tc>
          <w:tcPr>
            <w:tcW w:w="3130" w:type="dxa"/>
            <w:noWrap w:val="0"/>
            <w:vAlign w:val="center"/>
          </w:tcPr>
          <w:p>
            <w:pPr>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二、单位自筹资金</w:t>
            </w:r>
          </w:p>
        </w:tc>
        <w:tc>
          <w:tcPr>
            <w:tcW w:w="2356" w:type="dxa"/>
            <w:noWrap w:val="0"/>
            <w:vAlign w:val="center"/>
          </w:tcPr>
          <w:p>
            <w:pPr>
              <w:spacing w:line="440" w:lineRule="exact"/>
              <w:jc w:val="center"/>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三、银行贷款</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四、国债</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3830" w:type="dxa"/>
            <w:gridSpan w:val="2"/>
            <w:noWrap w:val="0"/>
            <w:vAlign w:val="center"/>
          </w:tcPr>
          <w:p>
            <w:pPr>
              <w:spacing w:line="440" w:lineRule="exact"/>
              <w:rPr>
                <w:rFonts w:hint="eastAsia" w:ascii="宋体" w:hAnsi="宋体" w:cs="宋体"/>
                <w:color w:val="auto"/>
                <w:sz w:val="24"/>
              </w:rPr>
            </w:pPr>
            <w:r>
              <w:rPr>
                <w:rFonts w:hint="eastAsia" w:ascii="宋体" w:hAnsi="宋体" w:cs="宋体"/>
                <w:color w:val="auto"/>
                <w:sz w:val="24"/>
              </w:rPr>
              <w:t>五、其他资金投入</w:t>
            </w:r>
          </w:p>
        </w:tc>
        <w:tc>
          <w:tcPr>
            <w:tcW w:w="2356" w:type="dxa"/>
            <w:noWrap w:val="0"/>
            <w:vAlign w:val="center"/>
          </w:tcPr>
          <w:p>
            <w:pPr>
              <w:spacing w:line="440" w:lineRule="exact"/>
              <w:rPr>
                <w:rFonts w:hint="eastAsia" w:ascii="宋体" w:hAnsi="宋体" w:cs="宋体"/>
                <w:color w:val="auto"/>
                <w:sz w:val="24"/>
              </w:rPr>
            </w:pPr>
          </w:p>
        </w:tc>
        <w:tc>
          <w:tcPr>
            <w:tcW w:w="3130" w:type="dxa"/>
            <w:noWrap w:val="0"/>
            <w:vAlign w:val="center"/>
          </w:tcPr>
          <w:p>
            <w:pPr>
              <w:spacing w:line="4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9" w:hRule="atLeast"/>
          <w:jc w:val="center"/>
        </w:trPr>
        <w:tc>
          <w:tcPr>
            <w:tcW w:w="1002" w:type="dxa"/>
            <w:tcBorders>
              <w:bottom w:val="single" w:color="auto" w:sz="4" w:space="0"/>
            </w:tcBorders>
            <w:noWrap w:val="0"/>
            <w:vAlign w:val="center"/>
          </w:tcPr>
          <w:p>
            <w:pPr>
              <w:jc w:val="center"/>
              <w:rPr>
                <w:rFonts w:hint="eastAsia" w:ascii="宋体" w:hAnsi="宋体" w:cs="宋体"/>
                <w:color w:val="auto"/>
                <w:spacing w:val="52"/>
                <w:sz w:val="24"/>
              </w:rPr>
            </w:pPr>
            <w:r>
              <w:rPr>
                <w:rFonts w:hint="eastAsia" w:ascii="宋体" w:hAnsi="宋体" w:cs="宋体"/>
                <w:color w:val="auto"/>
                <w:spacing w:val="52"/>
                <w:sz w:val="24"/>
              </w:rPr>
              <w:t>项目主要内容及项目申请理由</w:t>
            </w:r>
          </w:p>
        </w:tc>
        <w:tc>
          <w:tcPr>
            <w:tcW w:w="8314" w:type="dxa"/>
            <w:gridSpan w:val="3"/>
            <w:tcBorders>
              <w:bottom w:val="single" w:color="auto" w:sz="4" w:space="0"/>
            </w:tcBorders>
            <w:noWrap w:val="0"/>
            <w:vAlign w:val="center"/>
          </w:tcPr>
          <w:p>
            <w:pPr>
              <w:snapToGrid w:val="0"/>
              <w:jc w:val="left"/>
              <w:rPr>
                <w:rFonts w:hint="eastAsia" w:ascii="宋体" w:hAnsi="宋体" w:cs="宋体"/>
                <w:sz w:val="24"/>
              </w:rPr>
            </w:pPr>
            <w:r>
              <w:rPr>
                <w:rFonts w:hint="eastAsia" w:ascii="宋体" w:hAnsi="宋体" w:cs="宋体"/>
                <w:b/>
                <w:color w:val="000000"/>
                <w:sz w:val="21"/>
                <w:szCs w:val="21"/>
                <w:lang w:bidi="ar"/>
              </w:rPr>
              <w:t>项目主要内容：</w:t>
            </w:r>
            <w:r>
              <w:rPr>
                <w:rFonts w:hint="eastAsia" w:ascii="仿宋_GB2312" w:hAnsi="宋体" w:cs="宋体"/>
                <w:color w:val="000000"/>
                <w:sz w:val="21"/>
                <w:szCs w:val="21"/>
                <w:lang w:eastAsia="zh-CN" w:bidi="ar"/>
              </w:rPr>
              <w:t>用于河池市林业综合实验建设项目。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lang w:val="en-US" w:eastAsia="zh-CN"/>
              </w:rPr>
            </w:pPr>
            <w:r>
              <w:rPr>
                <w:rFonts w:hint="eastAsia" w:ascii="宋体" w:hAnsi="宋体" w:cs="宋体"/>
                <w:b/>
                <w:color w:val="000000"/>
                <w:sz w:val="21"/>
                <w:szCs w:val="21"/>
                <w:lang w:bidi="ar"/>
              </w:rPr>
              <w:t>项目申请理由：</w:t>
            </w:r>
            <w:r>
              <w:rPr>
                <w:rFonts w:hint="eastAsia" w:ascii="宋体" w:hAnsi="宋体" w:cs="宋体"/>
                <w:color w:val="000000"/>
                <w:sz w:val="21"/>
                <w:szCs w:val="21"/>
                <w:lang w:bidi="ar"/>
              </w:rPr>
              <w:t>作为市级科研院所，因资金缺乏，尚未建立实验室，在林业项目申报上不具备优势，制约了林业科研工作的开展。为更好的服务河池市林业工作，促进林业高质量发展，特向河池市财政局申请“河池市林学实验建设项目”。</w:t>
            </w:r>
            <w:r>
              <w:rPr>
                <w:rFonts w:hint="eastAsia" w:ascii="宋体" w:hAnsi="宋体" w:cs="宋体"/>
                <w:color w:val="000000"/>
                <w:sz w:val="21"/>
                <w:szCs w:val="21"/>
                <w:lang w:eastAsia="zh-CN" w:bidi="ar"/>
              </w:rPr>
              <w:t>主要内容有：</w:t>
            </w:r>
            <w:r>
              <w:rPr>
                <w:rFonts w:hint="eastAsia" w:ascii="宋体" w:hAnsi="宋体" w:cs="宋体"/>
                <w:color w:val="000000"/>
                <w:sz w:val="21"/>
                <w:szCs w:val="21"/>
                <w:lang w:bidi="ar"/>
              </w:rPr>
              <w:t>一、设备费共计</w:t>
            </w:r>
            <w:r>
              <w:rPr>
                <w:rFonts w:hint="eastAsia" w:ascii="宋体" w:hAnsi="宋体" w:cs="宋体"/>
                <w:color w:val="000000"/>
                <w:sz w:val="21"/>
                <w:szCs w:val="21"/>
                <w:lang w:val="en-US" w:eastAsia="zh-CN" w:bidi="ar"/>
              </w:rPr>
              <w:t>17</w:t>
            </w:r>
            <w:r>
              <w:rPr>
                <w:rFonts w:hint="eastAsia" w:ascii="宋体" w:hAnsi="宋体" w:cs="宋体"/>
                <w:color w:val="000000"/>
                <w:sz w:val="21"/>
                <w:szCs w:val="21"/>
                <w:lang w:bidi="ar"/>
              </w:rPr>
              <w:t>万元。用于购买外业推广示范、田间试验的车辆、林学综合实验室建设所需的仪器设备；办公用品等。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4" w:hRule="atLeast"/>
          <w:jc w:val="center"/>
        </w:trPr>
        <w:tc>
          <w:tcPr>
            <w:tcW w:w="3830" w:type="dxa"/>
            <w:gridSpan w:val="2"/>
            <w:tcBorders>
              <w:bottom w:val="single" w:color="auto" w:sz="4" w:space="0"/>
            </w:tcBorders>
            <w:noWrap w:val="0"/>
            <w:vAlign w:val="center"/>
          </w:tcPr>
          <w:p>
            <w:pPr>
              <w:spacing w:line="440" w:lineRule="exact"/>
              <w:jc w:val="center"/>
              <w:rPr>
                <w:rFonts w:hint="eastAsia" w:ascii="宋体" w:hAnsi="宋体" w:cs="宋体"/>
                <w:color w:val="auto"/>
                <w:sz w:val="24"/>
              </w:rPr>
            </w:pPr>
            <w:r>
              <w:rPr>
                <w:rFonts w:hint="eastAsia" w:ascii="宋体" w:hAnsi="宋体" w:cs="宋体"/>
                <w:color w:val="auto"/>
                <w:sz w:val="24"/>
              </w:rPr>
              <w:t>项目组织实施条件</w:t>
            </w:r>
          </w:p>
        </w:tc>
        <w:tc>
          <w:tcPr>
            <w:tcW w:w="548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rPr>
            </w:pPr>
            <w:r>
              <w:rPr>
                <w:rFonts w:hint="eastAsia" w:ascii="仿宋_GB2312" w:hAnsi="宋体" w:cs="宋体"/>
                <w:color w:val="000000"/>
                <w:sz w:val="24"/>
                <w:lang w:bidi="ar"/>
              </w:rPr>
              <w:t>河池市林业科学研究院核定编制</w:t>
            </w:r>
            <w:r>
              <w:rPr>
                <w:rFonts w:ascii="仿宋_GB2312" w:hAnsi="宋体" w:eastAsia="仿宋_GB2312" w:cs="仿宋_GB2312"/>
                <w:color w:val="000000"/>
                <w:sz w:val="24"/>
                <w:lang w:bidi="ar"/>
              </w:rPr>
              <w:t>25</w:t>
            </w:r>
            <w:r>
              <w:rPr>
                <w:rFonts w:hint="eastAsia" w:ascii="宋体" w:hAnsi="宋体" w:cs="宋体"/>
                <w:color w:val="000000"/>
                <w:sz w:val="24"/>
                <w:lang w:bidi="ar"/>
              </w:rPr>
              <w:t>名，现在在职在编职工</w:t>
            </w:r>
            <w:r>
              <w:rPr>
                <w:rFonts w:hint="eastAsia" w:ascii="仿宋_GB2312" w:hAnsi="宋体" w:cs="宋体"/>
                <w:color w:val="000000"/>
                <w:sz w:val="24"/>
                <w:lang w:val="en-US" w:eastAsia="zh-CN" w:bidi="ar"/>
              </w:rPr>
              <w:t>20</w:t>
            </w:r>
            <w:r>
              <w:rPr>
                <w:rFonts w:hint="eastAsia" w:ascii="仿宋_GB2312" w:hAnsi="宋体" w:cs="宋体"/>
                <w:color w:val="000000"/>
                <w:sz w:val="24"/>
                <w:lang w:bidi="ar"/>
              </w:rPr>
              <w:t>人，其中具有高级职称</w:t>
            </w:r>
            <w:r>
              <w:rPr>
                <w:rFonts w:hint="eastAsia" w:ascii="仿宋_GB2312" w:hAnsi="宋体" w:cs="宋体"/>
                <w:color w:val="000000"/>
                <w:sz w:val="24"/>
                <w:lang w:val="en-US" w:eastAsia="zh-CN" w:bidi="ar"/>
              </w:rPr>
              <w:t>4</w:t>
            </w:r>
            <w:r>
              <w:rPr>
                <w:rFonts w:hint="eastAsia" w:ascii="仿宋_GB2312" w:hAnsi="宋体" w:cs="宋体"/>
                <w:color w:val="000000"/>
                <w:sz w:val="24"/>
                <w:lang w:bidi="ar"/>
              </w:rPr>
              <w:t>人，中级职称</w:t>
            </w:r>
            <w:r>
              <w:rPr>
                <w:rFonts w:hint="eastAsia" w:ascii="仿宋_GB2312" w:hAnsi="宋体" w:cs="宋体"/>
                <w:color w:val="000000"/>
                <w:sz w:val="24"/>
                <w:lang w:val="en-US" w:eastAsia="zh-CN" w:bidi="ar"/>
              </w:rPr>
              <w:t>7</w:t>
            </w:r>
            <w:r>
              <w:rPr>
                <w:rFonts w:hint="eastAsia" w:ascii="仿宋_GB2312" w:hAnsi="宋体" w:cs="宋体"/>
                <w:color w:val="000000"/>
                <w:sz w:val="24"/>
                <w:lang w:bidi="ar"/>
              </w:rPr>
              <w:t>人，初级职称</w:t>
            </w:r>
            <w:r>
              <w:rPr>
                <w:rFonts w:hint="eastAsia" w:ascii="仿宋_GB2312" w:hAnsi="宋体" w:cs="宋体"/>
                <w:color w:val="000000"/>
                <w:sz w:val="24"/>
                <w:lang w:val="en-US" w:eastAsia="zh-CN" w:bidi="ar"/>
              </w:rPr>
              <w:t>8</w:t>
            </w:r>
            <w:r>
              <w:rPr>
                <w:rFonts w:hint="eastAsia" w:ascii="仿宋_GB2312" w:hAnsi="宋体" w:cs="宋体"/>
                <w:color w:val="000000"/>
                <w:sz w:val="24"/>
                <w:lang w:bidi="ar"/>
              </w:rPr>
              <w:t>人。</w:t>
            </w:r>
          </w:p>
        </w:tc>
      </w:tr>
    </w:tbl>
    <w:p>
      <w:pPr>
        <w:jc w:val="both"/>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center"/>
        <w:rPr>
          <w:rFonts w:hint="eastAsia" w:ascii="黑体" w:hAnsi="黑体" w:eastAsia="黑体" w:cs="黑体"/>
          <w:bCs/>
          <w:color w:val="auto"/>
          <w:spacing w:val="-17"/>
          <w:sz w:val="36"/>
          <w:szCs w:val="36"/>
        </w:rPr>
      </w:pPr>
    </w:p>
    <w:p>
      <w:pPr>
        <w:jc w:val="both"/>
        <w:rPr>
          <w:rFonts w:hint="eastAsia" w:ascii="黑体" w:hAnsi="黑体" w:eastAsia="黑体" w:cs="黑体"/>
          <w:bCs/>
          <w:color w:val="auto"/>
          <w:spacing w:val="-17"/>
          <w:sz w:val="36"/>
          <w:szCs w:val="36"/>
        </w:rPr>
      </w:pPr>
    </w:p>
    <w:p>
      <w:pPr>
        <w:jc w:val="center"/>
        <w:rPr>
          <w:rFonts w:hint="eastAsia" w:ascii="仿宋" w:hAnsi="宋体" w:eastAsia="仿宋"/>
          <w:color w:val="auto"/>
        </w:rPr>
      </w:pPr>
      <w:r>
        <w:rPr>
          <w:rFonts w:hint="eastAsia" w:ascii="黑体" w:hAnsi="黑体" w:eastAsia="黑体" w:cs="黑体"/>
          <w:bCs/>
          <w:color w:val="auto"/>
          <w:spacing w:val="-17"/>
          <w:sz w:val="36"/>
          <w:szCs w:val="36"/>
        </w:rPr>
        <w:t>专项经费</w:t>
      </w:r>
      <w:r>
        <w:rPr>
          <w:rFonts w:hint="eastAsia" w:ascii="黑体" w:hAnsi="黑体" w:eastAsia="黑体" w:cs="黑体"/>
          <w:bCs/>
          <w:color w:val="auto"/>
          <w:spacing w:val="-17"/>
          <w:sz w:val="36"/>
        </w:rPr>
        <w:t>项目支出预算明细表</w:t>
      </w:r>
      <w:r>
        <w:rPr>
          <w:rFonts w:hint="eastAsia" w:ascii="黑体" w:hAnsi="黑体" w:eastAsia="黑体" w:cs="黑体"/>
          <w:bCs/>
          <w:color w:val="auto"/>
          <w:spacing w:val="-17"/>
          <w:sz w:val="36"/>
          <w:lang w:val="en-US" w:eastAsia="zh-CN"/>
        </w:rPr>
        <w:t>5</w:t>
      </w:r>
      <w:r>
        <w:rPr>
          <w:rFonts w:hint="eastAsia" w:ascii="仿宋_GB2312"/>
          <w:b/>
          <w:color w:val="auto"/>
          <w:sz w:val="44"/>
        </w:rPr>
        <w:t xml:space="preserve">                          </w:t>
      </w:r>
      <w:r>
        <w:rPr>
          <w:rFonts w:hint="eastAsia" w:ascii="仿宋_GB2312"/>
          <w:b/>
          <w:color w:val="auto"/>
          <w:sz w:val="28"/>
        </w:rPr>
        <w:t>单位：万元</w:t>
      </w:r>
      <w:r>
        <w:rPr>
          <w:rFonts w:hint="eastAsia" w:ascii="仿宋" w:hAnsi="宋体" w:eastAsia="仿宋"/>
          <w:color w:val="auto"/>
        </w:rPr>
        <w:t xml:space="preserve">     </w:t>
      </w:r>
    </w:p>
    <w:tbl>
      <w:tblPr>
        <w:tblStyle w:val="4"/>
        <w:tblW w:w="8327" w:type="dxa"/>
        <w:tblInd w:w="196" w:type="dxa"/>
        <w:tblLayout w:type="fixed"/>
        <w:tblCellMar>
          <w:top w:w="0" w:type="dxa"/>
          <w:left w:w="54" w:type="dxa"/>
          <w:bottom w:w="0" w:type="dxa"/>
          <w:right w:w="54" w:type="dxa"/>
        </w:tblCellMar>
      </w:tblPr>
      <w:tblGrid>
        <w:gridCol w:w="2198"/>
        <w:gridCol w:w="3614"/>
        <w:gridCol w:w="2515"/>
      </w:tblGrid>
      <w:tr>
        <w:tblPrEx>
          <w:tblLayout w:type="fixed"/>
          <w:tblCellMar>
            <w:top w:w="0" w:type="dxa"/>
            <w:left w:w="54" w:type="dxa"/>
            <w:bottom w:w="0" w:type="dxa"/>
            <w:right w:w="54" w:type="dxa"/>
          </w:tblCellMar>
        </w:tblPrEx>
        <w:trPr>
          <w:trHeight w:val="454" w:hRule="exact"/>
        </w:trPr>
        <w:tc>
          <w:tcPr>
            <w:tcW w:w="2198" w:type="dxa"/>
            <w:vMerge w:val="restart"/>
            <w:tcBorders>
              <w:top w:val="single" w:color="auto" w:sz="4" w:space="0"/>
              <w:left w:val="single" w:color="auto" w:sz="4" w:space="0"/>
              <w:right w:val="single" w:color="auto" w:sz="4" w:space="0"/>
            </w:tcBorders>
            <w:noWrap w:val="0"/>
            <w:vAlign w:val="top"/>
          </w:tcPr>
          <w:p>
            <w:pPr>
              <w:spacing w:line="320" w:lineRule="exact"/>
              <w:rPr>
                <w:rFonts w:hint="eastAsia" w:ascii="宋体" w:hAnsi="宋体" w:cs="宋体"/>
                <w:color w:val="auto"/>
                <w:sz w:val="24"/>
              </w:rPr>
            </w:pPr>
            <w:r>
              <w:rPr>
                <w:rFonts w:hint="eastAsia" w:ascii="宋体" w:hAnsi="宋体" w:cs="宋体"/>
                <w:color w:val="auto"/>
                <w:sz w:val="24"/>
              </w:rPr>
              <w:t xml:space="preserve">      项</w:t>
            </w:r>
          </w:p>
          <w:p>
            <w:pPr>
              <w:spacing w:line="320" w:lineRule="exact"/>
              <w:rPr>
                <w:rFonts w:hint="eastAsia" w:ascii="宋体" w:hAnsi="宋体" w:cs="宋体"/>
                <w:color w:val="auto"/>
                <w:sz w:val="24"/>
              </w:rPr>
            </w:pPr>
            <w:r>
              <w:rPr>
                <w:rFonts w:hint="eastAsia" w:ascii="宋体" w:hAnsi="宋体" w:cs="宋体"/>
                <w:color w:val="auto"/>
                <w:sz w:val="24"/>
              </w:rPr>
              <w:t xml:space="preserve">      目</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支</w:t>
            </w:r>
          </w:p>
          <w:p>
            <w:pPr>
              <w:spacing w:line="400" w:lineRule="exact"/>
              <w:rPr>
                <w:rFonts w:hint="eastAsia" w:ascii="宋体" w:hAnsi="宋体" w:cs="宋体"/>
                <w:color w:val="auto"/>
                <w:sz w:val="24"/>
              </w:rPr>
            </w:pPr>
            <w:r>
              <w:rPr>
                <w:rFonts w:hint="eastAsia" w:ascii="宋体" w:hAnsi="宋体" w:cs="宋体"/>
                <w:color w:val="auto"/>
                <w:sz w:val="24"/>
              </w:rPr>
              <w:t xml:space="preserve">      出</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明</w:t>
            </w:r>
          </w:p>
          <w:p>
            <w:pPr>
              <w:spacing w:line="400" w:lineRule="exact"/>
              <w:ind w:firstLine="720" w:firstLineChars="300"/>
              <w:rPr>
                <w:rFonts w:hint="eastAsia" w:ascii="宋体" w:hAnsi="宋体" w:cs="宋体"/>
                <w:color w:val="auto"/>
                <w:sz w:val="24"/>
              </w:rPr>
            </w:pPr>
            <w:r>
              <w:rPr>
                <w:rFonts w:hint="eastAsia" w:ascii="宋体" w:hAnsi="宋体" w:cs="宋体"/>
                <w:color w:val="auto"/>
                <w:sz w:val="24"/>
              </w:rPr>
              <w:t>细</w:t>
            </w:r>
          </w:p>
          <w:p>
            <w:pPr>
              <w:spacing w:line="320" w:lineRule="exact"/>
              <w:rPr>
                <w:rFonts w:hint="eastAsia" w:ascii="宋体" w:hAnsi="宋体" w:cs="宋体"/>
                <w:color w:val="auto"/>
                <w:sz w:val="24"/>
              </w:rPr>
            </w:pPr>
            <w:r>
              <w:rPr>
                <w:rFonts w:hint="eastAsia" w:ascii="宋体" w:hAnsi="宋体" w:cs="宋体"/>
                <w:color w:val="auto"/>
                <w:sz w:val="24"/>
              </w:rPr>
              <w:t xml:space="preserve">   </w:t>
            </w:r>
          </w:p>
        </w:tc>
        <w:tc>
          <w:tcPr>
            <w:tcW w:w="3614" w:type="dxa"/>
            <w:tcBorders>
              <w:top w:val="single" w:color="auto" w:sz="6" w:space="0"/>
              <w:left w:val="single" w:color="auto" w:sz="4" w:space="0"/>
              <w:bottom w:val="single" w:color="auto" w:sz="6" w:space="0"/>
              <w:right w:val="single" w:color="auto" w:sz="6" w:space="0"/>
            </w:tcBorders>
            <w:noWrap w:val="0"/>
            <w:vAlign w:val="top"/>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支出明细项目</w:t>
            </w:r>
          </w:p>
        </w:tc>
        <w:tc>
          <w:tcPr>
            <w:tcW w:w="2515"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firstLine="840" w:firstLineChars="350"/>
              <w:jc w:val="center"/>
              <w:rPr>
                <w:rFonts w:hint="eastAsia" w:ascii="宋体" w:hAnsi="宋体" w:cs="宋体"/>
                <w:color w:val="auto"/>
                <w:sz w:val="24"/>
              </w:rPr>
            </w:pPr>
            <w:r>
              <w:rPr>
                <w:rFonts w:hint="eastAsia" w:ascii="宋体" w:hAnsi="宋体" w:cs="宋体"/>
                <w:color w:val="auto"/>
                <w:sz w:val="24"/>
              </w:rPr>
              <w:t>金       额</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left w:val="single" w:color="auto" w:sz="4" w:space="0"/>
              <w:bottom w:val="single" w:color="auto" w:sz="4" w:space="0"/>
              <w:right w:val="single"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helvetica" w:hAnsi="helvetica" w:eastAsia="helvetica" w:cs="helvetica"/>
                <w:sz w:val="21"/>
                <w:szCs w:val="21"/>
              </w:rPr>
            </w:pPr>
            <w:r>
              <w:rPr>
                <w:rFonts w:hint="eastAsia" w:ascii="宋体" w:hAnsi="宋体" w:cs="宋体"/>
                <w:color w:val="auto"/>
                <w:sz w:val="24"/>
                <w:lang w:val="en-US" w:eastAsia="zh-CN"/>
              </w:rPr>
              <w:t>设备费</w:t>
            </w:r>
          </w:p>
          <w:p>
            <w:pPr>
              <w:spacing w:line="360" w:lineRule="exact"/>
              <w:ind w:firstLine="480" w:firstLineChars="200"/>
              <w:jc w:val="center"/>
              <w:rPr>
                <w:rFonts w:hint="eastAsia" w:ascii="宋体" w:hAnsi="宋体" w:cs="宋体"/>
                <w:color w:val="auto"/>
                <w:sz w:val="24"/>
              </w:rPr>
            </w:pPr>
          </w:p>
        </w:tc>
        <w:tc>
          <w:tcPr>
            <w:tcW w:w="2515" w:type="dxa"/>
            <w:tcBorders>
              <w:top w:val="single" w:color="auto" w:sz="6" w:space="0"/>
              <w:left w:val="single" w:color="auto" w:sz="6" w:space="0"/>
              <w:bottom w:val="single" w:color="auto" w:sz="4" w:space="0"/>
              <w:right w:val="single" w:color="auto" w:sz="6" w:space="0"/>
            </w:tcBorders>
            <w:noWrap w:val="0"/>
            <w:vAlign w:val="top"/>
          </w:tcPr>
          <w:p>
            <w:pPr>
              <w:spacing w:line="360" w:lineRule="exact"/>
              <w:ind w:firstLine="640" w:firstLineChars="200"/>
              <w:jc w:val="center"/>
              <w:rPr>
                <w:rFonts w:hint="eastAsia"/>
                <w:lang w:val="en-US" w:eastAsia="zh-CN"/>
              </w:rPr>
            </w:pPr>
            <w:r>
              <w:rPr>
                <w:rFonts w:hint="eastAsia"/>
                <w:lang w:val="en-US" w:eastAsia="zh-CN"/>
              </w:rPr>
              <w:t>16</w:t>
            </w:r>
          </w:p>
          <w:p>
            <w:pPr>
              <w:pStyle w:val="2"/>
              <w:rPr>
                <w:rFonts w:hint="default"/>
                <w:lang w:val="en-US" w:eastAsia="zh-CN"/>
              </w:rPr>
            </w:pPr>
          </w:p>
        </w:tc>
      </w:tr>
      <w:tr>
        <w:tblPrEx>
          <w:tblLayout w:type="fixed"/>
          <w:tblCellMar>
            <w:top w:w="0" w:type="dxa"/>
            <w:left w:w="54" w:type="dxa"/>
            <w:bottom w:w="0" w:type="dxa"/>
            <w:right w:w="54" w:type="dxa"/>
          </w:tblCellMar>
        </w:tblPrEx>
        <w:trPr>
          <w:trHeight w:val="709"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lang w:val="en-US" w:eastAsia="zh-CN"/>
              </w:rPr>
            </w:pPr>
            <w:r>
              <w:rPr>
                <w:rFonts w:hint="eastAsia" w:ascii="宋体" w:hAnsi="宋体" w:cs="宋体"/>
                <w:color w:val="auto"/>
                <w:sz w:val="24"/>
                <w:lang w:eastAsia="zh-CN"/>
              </w:rPr>
              <w:t>材料费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54" w:type="dxa"/>
            <w:bottom w:w="0" w:type="dxa"/>
            <w:right w:w="54" w:type="dxa"/>
          </w:tblCellMar>
        </w:tblPrEx>
        <w:trPr>
          <w:trHeight w:val="622"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eastAsia="zh-CN"/>
              </w:rPr>
            </w:pPr>
            <w:r>
              <w:rPr>
                <w:rFonts w:hint="eastAsia" w:ascii="宋体" w:hAnsi="宋体" w:cs="宋体"/>
                <w:color w:val="auto"/>
                <w:sz w:val="24"/>
                <w:lang w:eastAsia="zh-CN"/>
              </w:rPr>
              <w:t>培训费</w:t>
            </w:r>
          </w:p>
        </w:tc>
        <w:tc>
          <w:tcPr>
            <w:tcW w:w="251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54" w:type="dxa"/>
            <w:bottom w:w="0" w:type="dxa"/>
            <w:right w:w="54" w:type="dxa"/>
          </w:tblCellMar>
        </w:tblPrEx>
        <w:trPr>
          <w:trHeight w:val="454" w:hRule="exact"/>
        </w:trPr>
        <w:tc>
          <w:tcPr>
            <w:tcW w:w="2198" w:type="dxa"/>
            <w:vMerge w:val="continue"/>
            <w:tcBorders>
              <w:left w:val="single" w:color="auto" w:sz="4" w:space="0"/>
              <w:right w:val="single" w:color="auto" w:sz="4" w:space="0"/>
            </w:tcBorders>
            <w:noWrap w:val="0"/>
            <w:vAlign w:val="top"/>
          </w:tcPr>
          <w:p>
            <w:pPr>
              <w:spacing w:line="400" w:lineRule="exact"/>
              <w:ind w:firstLine="720" w:firstLineChars="300"/>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eastAsia="zh-CN"/>
              </w:rPr>
            </w:pPr>
            <w:r>
              <w:rPr>
                <w:rFonts w:hint="eastAsia" w:ascii="宋体" w:hAnsi="宋体" w:cs="宋体"/>
                <w:color w:val="auto"/>
                <w:sz w:val="24"/>
              </w:rPr>
              <w:t>差旅费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Layout w:type="fixed"/>
          <w:tblCellMar>
            <w:top w:w="0" w:type="dxa"/>
            <w:left w:w="54" w:type="dxa"/>
            <w:bottom w:w="0" w:type="dxa"/>
            <w:right w:w="54" w:type="dxa"/>
          </w:tblCellMar>
        </w:tblPrEx>
        <w:trPr>
          <w:trHeight w:val="724" w:hRule="exact"/>
        </w:trPr>
        <w:tc>
          <w:tcPr>
            <w:tcW w:w="2198" w:type="dxa"/>
            <w:vMerge w:val="continue"/>
            <w:tcBorders>
              <w:left w:val="single" w:color="auto" w:sz="4" w:space="0"/>
              <w:right w:val="single" w:color="auto" w:sz="4" w:space="0"/>
            </w:tcBorders>
            <w:noWrap w:val="0"/>
            <w:vAlign w:val="top"/>
          </w:tcPr>
          <w:p>
            <w:pPr>
              <w:spacing w:line="320" w:lineRule="exact"/>
              <w:rPr>
                <w:rFonts w:hint="eastAsia" w:ascii="宋体" w:hAnsi="宋体" w:cs="宋体"/>
                <w:color w:val="auto"/>
                <w:sz w:val="24"/>
              </w:rPr>
            </w:pPr>
          </w:p>
        </w:tc>
        <w:tc>
          <w:tcPr>
            <w:tcW w:w="3614"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eastAsia" w:ascii="宋体" w:hAnsi="宋体" w:eastAsia="宋体" w:cs="宋体"/>
                <w:color w:val="auto"/>
                <w:sz w:val="24"/>
                <w:lang w:eastAsia="zh-CN"/>
              </w:rPr>
            </w:pPr>
            <w:r>
              <w:rPr>
                <w:rFonts w:hint="eastAsia" w:ascii="宋体" w:hAnsi="宋体" w:cs="宋体"/>
                <w:color w:val="auto"/>
                <w:sz w:val="24"/>
                <w:lang w:eastAsia="zh-CN"/>
              </w:rPr>
              <w:t>出版/文献/信息传播/知识产权事务费</w:t>
            </w:r>
          </w:p>
        </w:tc>
        <w:tc>
          <w:tcPr>
            <w:tcW w:w="2515" w:type="dxa"/>
            <w:tcBorders>
              <w:top w:val="single" w:color="auto" w:sz="4" w:space="0"/>
              <w:left w:val="single" w:color="auto" w:sz="4" w:space="0"/>
              <w:bottom w:val="single" w:color="auto" w:sz="4" w:space="0"/>
              <w:right w:val="single" w:color="auto" w:sz="4" w:space="0"/>
            </w:tcBorders>
            <w:noWrap w:val="0"/>
            <w:vAlign w:val="top"/>
          </w:tcPr>
          <w:p>
            <w:pPr>
              <w:spacing w:line="360" w:lineRule="exact"/>
              <w:ind w:firstLine="480" w:firstLineChars="20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Layout w:type="fixed"/>
          <w:tblCellMar>
            <w:top w:w="0" w:type="dxa"/>
            <w:left w:w="54" w:type="dxa"/>
            <w:bottom w:w="0" w:type="dxa"/>
            <w:right w:w="54" w:type="dxa"/>
          </w:tblCellMar>
        </w:tblPrEx>
        <w:trPr>
          <w:trHeight w:val="4611" w:hRule="atLeast"/>
        </w:trPr>
        <w:tc>
          <w:tcPr>
            <w:tcW w:w="21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测</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算</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依</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据</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及</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说</w:t>
            </w:r>
          </w:p>
          <w:p>
            <w:pPr>
              <w:spacing w:line="360" w:lineRule="exact"/>
              <w:ind w:firstLine="480" w:firstLineChars="200"/>
              <w:jc w:val="center"/>
              <w:rPr>
                <w:rFonts w:hint="eastAsia" w:ascii="宋体" w:hAnsi="宋体" w:cs="宋体"/>
                <w:color w:val="auto"/>
                <w:sz w:val="24"/>
              </w:rPr>
            </w:pPr>
            <w:r>
              <w:rPr>
                <w:rFonts w:hint="eastAsia" w:ascii="宋体" w:hAnsi="宋体" w:cs="宋体"/>
                <w:color w:val="auto"/>
                <w:sz w:val="24"/>
              </w:rPr>
              <w:t>明</w:t>
            </w:r>
          </w:p>
        </w:tc>
        <w:tc>
          <w:tcPr>
            <w:tcW w:w="612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 w:val="24"/>
              </w:rPr>
            </w:pPr>
            <w:r>
              <w:rPr>
                <w:rFonts w:hint="eastAsia" w:ascii="宋体" w:hAnsi="宋体" w:cs="宋体"/>
                <w:color w:val="000000"/>
                <w:sz w:val="21"/>
                <w:szCs w:val="21"/>
                <w:lang w:eastAsia="zh-CN" w:bidi="ar"/>
              </w:rPr>
              <w:t>根据</w:t>
            </w:r>
            <w:r>
              <w:rPr>
                <w:rFonts w:hint="eastAsia" w:ascii="宋体" w:hAnsi="宋体" w:cs="宋体"/>
                <w:color w:val="000000"/>
                <w:sz w:val="21"/>
                <w:szCs w:val="21"/>
                <w:lang w:bidi="ar"/>
              </w:rPr>
              <w:t>河编办发〔2022〕18 号</w:t>
            </w:r>
            <w:r>
              <w:rPr>
                <w:rFonts w:hint="eastAsia" w:ascii="宋体" w:hAnsi="宋体" w:cs="宋体"/>
                <w:color w:val="000000"/>
                <w:sz w:val="21"/>
                <w:szCs w:val="21"/>
                <w:lang w:eastAsia="zh-CN" w:bidi="ar"/>
              </w:rPr>
              <w:t>文件，</w:t>
            </w:r>
            <w:r>
              <w:rPr>
                <w:rFonts w:hint="eastAsia" w:ascii="宋体" w:hAnsi="宋体" w:cs="宋体"/>
                <w:color w:val="000000"/>
                <w:sz w:val="21"/>
                <w:szCs w:val="21"/>
                <w:lang w:bidi="ar"/>
              </w:rPr>
              <w:t>河池市林业科学研究院主要工作职责为承担和协作省部级、市级林业科研项目研究、推广示范工作和林业产业发展课题研究；负责新技术、新品种的试验和推广等。作为市级科研院所，因资金缺乏，尚未建立实验室，在林业项目申报上不具备优势，制约了林业科研工作的开展。为更好的服务河池市林业工作，促进林业高质量发展，特向河池市财政局申请“河池市林学实验建设项目”。该项目主要实施内容为建立林学综合实验室，开展植物生理指标测定、土壤检测、病菌分析等实验项目；开展木本粮油树种的品种选育工作；河池市乡土树种的挖掘与培育；病虫害田间实验等。</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0FA12"/>
    <w:multiLevelType w:val="singleLevel"/>
    <w:tmpl w:val="29E0FA12"/>
    <w:lvl w:ilvl="0" w:tentative="0">
      <w:start w:val="1"/>
      <w:numFmt w:val="chineseCounting"/>
      <w:suff w:val="nothing"/>
      <w:lvlText w:val="%1、"/>
      <w:lvlJc w:val="left"/>
      <w:pPr>
        <w:ind w:left="-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2794A"/>
    <w:rsid w:val="00993094"/>
    <w:rsid w:val="1E7E3EF7"/>
    <w:rsid w:val="41A0717D"/>
    <w:rsid w:val="44D27EA9"/>
    <w:rsid w:val="589B20E5"/>
    <w:rsid w:val="615B3B13"/>
    <w:rsid w:val="6F52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6"/>
    <w:basedOn w:val="1"/>
    <w:next w:val="1"/>
    <w:unhideWhenUsed/>
    <w:qFormat/>
    <w:uiPriority w:val="39"/>
    <w:pPr>
      <w:ind w:left="141" w:leftChars="67"/>
    </w:pPr>
    <w:rPr>
      <w:rFonts w:ascii="Times New Roman" w:hAnsi="Times New Roman" w:eastAsia="仿宋_GB2312"/>
      <w:sz w:val="32"/>
      <w:szCs w:val="32"/>
    </w:rPr>
  </w:style>
  <w:style w:type="paragraph" w:styleId="3">
    <w:name w:val="Plain Text"/>
    <w:basedOn w:val="1"/>
    <w:semiHidden/>
    <w:uiPriority w:val="0"/>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2022-12-08T01:38:00Z</dcterms:created>
  <dc:creator>pc20221107001</dc:creator>
  <cp:lastModifiedBy>pc20221107001</cp:lastModifiedBy>
  <dcterms:modified xsi:type="dcterms:W3CDTF">2023-01-03T09:39:12Z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