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bookmarkStart w:id="0" w:name="_GoBack"/>
      <w:bookmarkEnd w:id="0"/>
    </w:p>
    <w:p>
      <w:pPr>
        <w:spacing w:line="540" w:lineRule="exact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jc w:val="center"/>
        <w:rPr>
          <w:rFonts w:hint="eastAsia" w:ascii="仿宋_GB2312" w:eastAsia="方正小标宋简体"/>
          <w:color w:val="000000" w:themeColor="text1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河池市木本粮油产业发展中心2021年木本粮油中心工作经费项目支出绩效自评报告 </w:t>
      </w:r>
    </w:p>
    <w:p>
      <w:pPr>
        <w:spacing w:line="540" w:lineRule="exact"/>
        <w:rPr>
          <w:rFonts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一、项目基本情况</w:t>
      </w:r>
    </w:p>
    <w:p>
      <w:pPr>
        <w:spacing w:line="540" w:lineRule="exact"/>
        <w:ind w:firstLine="640" w:firstLineChars="200"/>
        <w:rPr>
          <w:rFonts w:hint="eastAsia" w:ascii="楷体_GB2312" w:eastAsia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（一）项目立项情况</w:t>
      </w:r>
      <w:r>
        <w:rPr>
          <w:rFonts w:hint="eastAsia" w:ascii="楷体_GB2312" w:eastAsia="楷体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1.项目立项背景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540" w:lineRule="exact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根据河办发〔2016〕21号、河办发〔2016〕71号、河办发〔2018〕70号，河池市核桃种植面积已完成260万亩，各县（区）历年种植的核桃陆续初花初果，产量逐步增加，西部凤山、天峨核桃产业已形成产量，经济效益逐步显现。河池市核桃产业发展局（含市林科院）核定编制45名，现有在职在编职工40人，其中具有高级专业技术职称2人，中级职称12人，初级职称10人。是全国唯一的地级市核桃局，同时还聘请了国内有关核桃著名专家5人，全市11个县（区）的核桃局（办）有98名工作人员，有887名乡村级核桃技术员，技术力量雄厚。近年来，在岩溶地区泡核桃生产技术推广和科研方面，取得显著的成果，为建成华南地区最大的核桃产业基地奠定了坚实的基础。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资金用途及目的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项目预算资金20万元，主要用途：一、用于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单位常规运转办公费（购买办公耗材、办公用品、办公设备、党报党刊，支付资料打印、水电费、邮电费等）；二、用于绩效考评差旅费（市级组织开展核桃产业绩效考评检查1次，每次4天12人）；三、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用于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技术指导差旅费（开展技术指导工作4次，每次3天11人）。</w:t>
      </w:r>
    </w:p>
    <w:p>
      <w:pPr>
        <w:spacing w:line="540" w:lineRule="exact"/>
        <w:ind w:firstLine="640" w:firstLineChars="200"/>
        <w:rPr>
          <w:rFonts w:hint="eastAsia" w:ascii="楷体_GB2312" w:hAnsi="仿宋_GB2312" w:eastAsia="楷体_GB2312" w:cs="宋体"/>
          <w:color w:val="000000" w:themeColor="text1"/>
          <w:sz w:val="32"/>
          <w:szCs w:val="2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 w:cs="宋体"/>
          <w:color w:val="000000" w:themeColor="text1"/>
          <w:sz w:val="32"/>
          <w:szCs w:val="2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（二）项目资金管理使用情况</w:t>
      </w:r>
      <w:r>
        <w:rPr>
          <w:rFonts w:hint="eastAsia" w:ascii="楷体_GB2312" w:hAnsi="仿宋_GB2312" w:eastAsia="楷体_GB2312" w:cs="宋体"/>
          <w:color w:val="000000" w:themeColor="text1"/>
          <w:sz w:val="32"/>
          <w:szCs w:val="2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widowControl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宋体"/>
          <w:color w:val="000000" w:themeColor="text1"/>
          <w:sz w:val="32"/>
          <w:szCs w:val="2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宋体"/>
          <w:color w:val="000000" w:themeColor="text1"/>
          <w:sz w:val="32"/>
          <w:szCs w:val="2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项目资金（包括财政资金、自筹资金等）安排落实、总投入等情况</w:t>
      </w:r>
      <w:r>
        <w:rPr>
          <w:rFonts w:hint="eastAsia" w:ascii="仿宋_GB2312" w:hAnsi="仿宋_GB2312" w:eastAsia="仿宋_GB2312" w:cs="宋体"/>
          <w:color w:val="000000" w:themeColor="text1"/>
          <w:sz w:val="32"/>
          <w:szCs w:val="2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widowControl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宋体"/>
          <w:color w:val="000000" w:themeColor="text1"/>
          <w:sz w:val="32"/>
          <w:szCs w:val="2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宋体"/>
          <w:color w:val="000000" w:themeColor="text1"/>
          <w:sz w:val="32"/>
          <w:szCs w:val="2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本项目没有自筹资金，财政拨款收入20万元，总投入20万元。</w:t>
      </w:r>
    </w:p>
    <w:p>
      <w:pPr>
        <w:pStyle w:val="4"/>
        <w:widowControl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宋体"/>
          <w:color w:val="000000" w:themeColor="text1"/>
          <w:sz w:val="32"/>
          <w:szCs w:val="2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宋体"/>
          <w:color w:val="000000" w:themeColor="text1"/>
          <w:sz w:val="32"/>
          <w:szCs w:val="2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2.项目资金（主要是指财政资金）实际使用情况，包括项目主要内容和涉及范围</w:t>
      </w:r>
      <w:r>
        <w:rPr>
          <w:rFonts w:hint="eastAsia" w:ascii="仿宋_GB2312" w:hAnsi="仿宋_GB2312" w:eastAsia="仿宋_GB2312" w:cs="宋体"/>
          <w:color w:val="000000" w:themeColor="text1"/>
          <w:sz w:val="32"/>
          <w:szCs w:val="2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宋体"/>
          <w:color w:val="000000" w:themeColor="text1"/>
          <w:sz w:val="32"/>
          <w:szCs w:val="2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2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本项目财政资金实际使用20000元，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主要用于办公费19980元（耗材）、办公设备费42268元（资本性支出），邮电费4825.20元、差旅费5654元、维修（护）费23677.95元、培训费5255元，公务接待费425元，专用燃料费2980元，劳务费87338.25，其他商品服务支出3950元。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宋体"/>
          <w:color w:val="000000" w:themeColor="text1"/>
          <w:sz w:val="32"/>
          <w:szCs w:val="2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宋体"/>
          <w:color w:val="000000" w:themeColor="text1"/>
          <w:sz w:val="32"/>
          <w:szCs w:val="2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项目资金管理情况（包括管理制度、办法的制订及执行情况）</w:t>
      </w:r>
      <w:r>
        <w:rPr>
          <w:rFonts w:hint="eastAsia" w:ascii="仿宋_GB2312" w:hAnsi="仿宋_GB2312" w:eastAsia="仿宋_GB2312" w:cs="宋体"/>
          <w:color w:val="000000" w:themeColor="text1"/>
          <w:sz w:val="32"/>
          <w:szCs w:val="2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540" w:lineRule="exact"/>
        <w:ind w:leftChars="200"/>
        <w:jc w:val="both"/>
        <w:rPr>
          <w:rFonts w:hint="eastAsia" w:ascii="仿宋_GB2312" w:hAnsi="仿宋_GB2312" w:eastAsia="仿宋_GB2312" w:cs="宋体"/>
          <w:color w:val="000000" w:themeColor="text1"/>
          <w:sz w:val="32"/>
          <w:szCs w:val="2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本单位项目资金管理，由领导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负责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牵头，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按照上级财政部门要求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建立了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单位财务管理内部控制制度，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制定了风险评估，内部审计，费用报销审核等财务管理办法，并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严格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按照要求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开展财务活动，严格执行资金支出的审批和审核的程序。单位经济业务事项的经办、验收、审批内部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做到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相互监督和制约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1"/>
        </w:numPr>
        <w:spacing w:line="540" w:lineRule="exact"/>
        <w:ind w:left="0" w:leftChars="0" w:firstLine="640" w:firstLineChars="200"/>
        <w:rPr>
          <w:rFonts w:hint="eastAsia" w:ascii="仿宋_GB2312" w:hAnsi="仿宋_GB2312" w:eastAsia="仿宋_GB2312" w:cs="宋体"/>
          <w:color w:val="000000" w:themeColor="text1"/>
          <w:sz w:val="32"/>
          <w:szCs w:val="2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宋体"/>
          <w:color w:val="000000" w:themeColor="text1"/>
          <w:sz w:val="32"/>
          <w:szCs w:val="2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项目资金支出及拨付合规性情况</w:t>
      </w:r>
    </w:p>
    <w:p>
      <w:pPr>
        <w:numPr>
          <w:ilvl w:val="0"/>
          <w:numId w:val="0"/>
        </w:numPr>
        <w:spacing w:line="540" w:lineRule="exact"/>
        <w:ind w:leftChars="200"/>
        <w:rPr>
          <w:rFonts w:hint="eastAsia" w:ascii="仿宋_GB2312" w:hAnsi="仿宋_GB2312" w:eastAsia="仿宋_GB2312" w:cs="宋体"/>
          <w:color w:val="000000" w:themeColor="text1"/>
          <w:sz w:val="32"/>
          <w:szCs w:val="2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该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项目资金严格按照市财政局批复的用途使用，未经批准不自行改变项目内容，不扩大使用范围，根据项目执行及需求等情况按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向财政提交经费用款申请。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资金支付时，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严格按照市财政局和的本部门财务管理制度要求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进行程序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审核，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按照政府购买服务中标协议条款要求，由相关部门组织验收合格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提供验收材料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才给予结算支付，支付方式统一使用国库支付系统进行财政授权支付。</w:t>
      </w:r>
    </w:p>
    <w:p>
      <w:pPr>
        <w:spacing w:line="540" w:lineRule="exact"/>
        <w:rPr>
          <w:rFonts w:hint="eastAsia" w:ascii="楷体_GB2312" w:eastAsia="楷体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宋体"/>
          <w:color w:val="000000" w:themeColor="text1"/>
          <w:sz w:val="32"/>
          <w:szCs w:val="2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_GB2312" w:eastAsia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（三）年初绩效目标及其衡量指标设定情况</w:t>
      </w:r>
      <w:r>
        <w:rPr>
          <w:rFonts w:hint="eastAsia" w:ascii="楷体_GB2312" w:eastAsia="楷体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40" w:lineRule="exact"/>
        <w:rPr>
          <w:rFonts w:hint="eastAsia" w:ascii="楷体_GB2312" w:eastAsia="楷体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实现市核桃产业机构顺利运转，组织开展核桃产业绩效考评和技术指导。</w:t>
      </w:r>
    </w:p>
    <w:p>
      <w:pPr>
        <w:spacing w:line="540" w:lineRule="exact"/>
        <w:ind w:firstLine="320" w:firstLineChars="100"/>
        <w:rPr>
          <w:rFonts w:hint="eastAsia" w:ascii="楷体_GB2312" w:eastAsia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（四）项目组织管理情况</w:t>
      </w:r>
      <w:r>
        <w:rPr>
          <w:rFonts w:hint="eastAsia" w:ascii="楷体_GB2312" w:eastAsia="楷体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宋体"/>
          <w:color w:val="000000" w:themeColor="text1"/>
          <w:sz w:val="32"/>
          <w:szCs w:val="2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宋体"/>
          <w:color w:val="000000" w:themeColor="text1"/>
          <w:sz w:val="32"/>
          <w:szCs w:val="2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1.项目组织情况（包括项目招投标情况、调整情况、完成验收等）</w:t>
      </w:r>
      <w:r>
        <w:rPr>
          <w:rFonts w:hint="eastAsia" w:ascii="仿宋_GB2312" w:hAnsi="仿宋_GB2312" w:eastAsia="仿宋_GB2312" w:cs="宋体"/>
          <w:color w:val="000000" w:themeColor="text1"/>
          <w:sz w:val="32"/>
          <w:szCs w:val="2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宋体"/>
          <w:color w:val="000000" w:themeColor="text1"/>
          <w:sz w:val="32"/>
          <w:szCs w:val="2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宋体"/>
          <w:color w:val="000000" w:themeColor="text1"/>
          <w:sz w:val="32"/>
          <w:szCs w:val="2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项目实施均由市核桃办牵头组织实施，其中单位常规运转办公费主要用于购买耗材、电脑、相机等，均按照政府采购要求进行，绩效考评差旅费、技术指导费均严格按照单位审批进行，项目严格按照内控制度进行组织管理和项目资金审批支付。</w:t>
      </w:r>
    </w:p>
    <w:p>
      <w:pPr>
        <w:pStyle w:val="4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宋体"/>
          <w:color w:val="000000" w:themeColor="text1"/>
          <w:sz w:val="32"/>
          <w:szCs w:val="2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宋体"/>
          <w:color w:val="000000" w:themeColor="text1"/>
          <w:sz w:val="32"/>
          <w:szCs w:val="2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宋体"/>
          <w:color w:val="000000" w:themeColor="text1"/>
          <w:sz w:val="32"/>
          <w:szCs w:val="24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项目管理情况（包括项目管理制度建设、日常检查监督管理等情况）</w:t>
      </w:r>
      <w:r>
        <w:rPr>
          <w:rFonts w:hint="eastAsia" w:ascii="仿宋_GB2312" w:hAnsi="仿宋_GB2312" w:eastAsia="仿宋_GB2312" w:cs="宋体"/>
          <w:color w:val="000000" w:themeColor="text1"/>
          <w:sz w:val="32"/>
          <w:szCs w:val="2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4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 w:line="540" w:lineRule="exact"/>
        <w:jc w:val="both"/>
        <w:rPr>
          <w:rFonts w:hint="default" w:ascii="仿宋_GB2312" w:hAnsi="仿宋_GB2312" w:eastAsia="仿宋_GB2312" w:cs="宋体"/>
          <w:color w:val="000000" w:themeColor="text1"/>
          <w:sz w:val="32"/>
          <w:szCs w:val="2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宋体"/>
          <w:color w:val="000000" w:themeColor="text1"/>
          <w:sz w:val="32"/>
          <w:szCs w:val="24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本项目采取项目负责人负责制，所有项目由具体负责人监督实施，由科室负责人审核、其他人员监督、分管领导审批后单位人签批。</w:t>
      </w:r>
    </w:p>
    <w:p>
      <w:pPr>
        <w:spacing w:line="54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二、项目评价工作开展情况</w:t>
      </w:r>
    </w:p>
    <w:p>
      <w:pPr>
        <w:spacing w:line="540" w:lineRule="exact"/>
        <w:ind w:firstLine="640" w:firstLineChars="200"/>
        <w:rPr>
          <w:rFonts w:hint="eastAsia" w:ascii="楷体_GB2312" w:hAnsi="仿宋_GB2312" w:eastAsia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_GB2312" w:eastAsia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简要写出</w:t>
      </w:r>
      <w:r>
        <w:rPr>
          <w:rFonts w:hint="eastAsia" w:ascii="楷体_GB2312" w:hAnsi="仿宋_GB2312" w:eastAsia="楷体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楷体_GB2312" w:hAnsi="仿宋_GB2312" w:eastAsia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评价组织实施及</w:t>
      </w:r>
      <w:r>
        <w:rPr>
          <w:rFonts w:hint="eastAsia" w:ascii="楷体_GB2312" w:hAnsi="仿宋_GB2312" w:eastAsia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评价过</w:t>
      </w:r>
      <w:r>
        <w:rPr>
          <w:rFonts w:hint="eastAsia" w:ascii="楷体_GB2312" w:hAnsi="仿宋_GB2312" w:eastAsia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程</w:t>
      </w:r>
    </w:p>
    <w:p>
      <w:pPr>
        <w:spacing w:line="540" w:lineRule="exact"/>
        <w:ind w:firstLine="640" w:firstLineChars="200"/>
        <w:rPr>
          <w:rFonts w:hint="eastAsia" w:ascii="楷体_GB2312" w:hAnsi="仿宋_GB2312" w:eastAsia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根据财政支出项目绩效评价工作安排，在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2021年“十大百万”核桃扶贫产业发展工作经费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下达之日，我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就成立了以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木本中心主任张武贵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同志为组长的项目绩效评价工作组，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中心副主任覃孟源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何琳办公室主任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任组员。在项目实施阶段，组长负责主持全面工作，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木本中心主任张武贵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负责项目的检查、监督验收等工作，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中心副主任覃孟源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负责项目的开展推进等日常工作，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何琳办公室主任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负责日常项目经费预算及支出管理。采用自评方式对本单位项目进行绩效评价，此项工作已完成100%。</w:t>
      </w:r>
    </w:p>
    <w:p>
      <w:pPr>
        <w:spacing w:line="54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三、项目绩效情况</w:t>
      </w:r>
    </w:p>
    <w:p>
      <w:pPr>
        <w:spacing w:line="540" w:lineRule="exact"/>
        <w:ind w:firstLine="640" w:firstLineChars="200"/>
        <w:rPr>
          <w:rFonts w:hint="eastAsia" w:ascii="楷体_GB2312" w:eastAsia="楷体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（一）绩效目标完成情况</w:t>
      </w:r>
      <w:r>
        <w:rPr>
          <w:rFonts w:hint="eastAsia" w:ascii="楷体_GB2312" w:eastAsia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（对照绩效目标表分别写出</w:t>
      </w:r>
      <w:r>
        <w:rPr>
          <w:rFonts w:hint="eastAsia" w:ascii="楷体_GB2312" w:eastAsia="楷体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完成的数量、质量、时间、预算支出情况</w:t>
      </w:r>
    </w:p>
    <w:p>
      <w:pPr>
        <w:pStyle w:val="4"/>
        <w:widowControl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default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1.产出数量：绩效目标数量是开展核桃产业绩效考评检查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1次，实际完成数量是1次，完成率为100%，已全部完成。</w:t>
      </w:r>
    </w:p>
    <w:p>
      <w:pPr>
        <w:pStyle w:val="4"/>
        <w:widowControl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2.产出质量：绩效目标质量是完成核桃技术指导4次，实际完成技术指导8次，完成目标要求。</w:t>
      </w:r>
    </w:p>
    <w:p>
      <w:pPr>
        <w:pStyle w:val="4"/>
        <w:widowControl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3.产出时效：绩效目标是2021年12月底前完成考评和技术指导，实际完成时间2021年12月。</w:t>
      </w:r>
    </w:p>
    <w:p>
      <w:pPr>
        <w:pStyle w:val="4"/>
        <w:widowControl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4.产出成本：项目预算支出是20万元，实际支出或执行数额是20万元，成本控制在预算内。</w:t>
      </w:r>
    </w:p>
    <w:p>
      <w:pPr>
        <w:pStyle w:val="4"/>
        <w:widowControl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default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生态效益</w:t>
      </w:r>
      <w:r>
        <w:rPr>
          <w:rFonts w:hint="default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绩效目标是</w:t>
      </w:r>
      <w:r>
        <w:rPr>
          <w:rFonts w:hint="default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改善石山生态环境，修复生态链。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实际完成情况为</w:t>
      </w:r>
      <w:r>
        <w:rPr>
          <w:rFonts w:hint="default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生态环境</w:t>
      </w:r>
      <w:r>
        <w:rPr>
          <w:rFonts w:hint="default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得到保障</w:t>
      </w:r>
    </w:p>
    <w:p>
      <w:pPr>
        <w:spacing w:line="540" w:lineRule="exact"/>
        <w:ind w:firstLine="640" w:firstLineChars="200"/>
        <w:rPr>
          <w:rFonts w:hint="eastAsia" w:ascii="楷体_GB2312" w:eastAsia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（二）绩效分析</w:t>
      </w:r>
    </w:p>
    <w:p>
      <w:pPr>
        <w:spacing w:line="540" w:lineRule="exact"/>
        <w:ind w:firstLine="640" w:firstLineChars="200"/>
        <w:rPr>
          <w:rFonts w:hint="eastAsia" w:ascii="仿宋_GB2312" w:hAnsi="Calibri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市财政局及时拨入核桃产业发展常规业务工作经费，我</w:t>
      </w:r>
      <w:r>
        <w:rPr>
          <w:rFonts w:hint="eastAsia" w:ascii="仿宋_GB2312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Calibri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在经费下达后按工作进度，顺利开展核桃产业示范基地建设、产业发展工作布置、技术指导、产业宣传、经验学习等工作。截止</w:t>
      </w:r>
      <w:r>
        <w:rPr>
          <w:rFonts w:hint="eastAsia" w:ascii="仿宋_GB2312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仿宋_GB2312" w:hAnsi="Calibri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年12月31日，</w:t>
      </w:r>
      <w:r>
        <w:rPr>
          <w:rFonts w:hint="eastAsia" w:ascii="仿宋_GB2312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木本粮油中心</w:t>
      </w:r>
      <w:r>
        <w:rPr>
          <w:rFonts w:hint="eastAsia" w:ascii="仿宋_GB2312" w:hAnsi="Calibri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工作经费使用</w:t>
      </w:r>
      <w:r>
        <w:rPr>
          <w:rFonts w:hint="eastAsia" w:ascii="仿宋_GB2312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20万元</w:t>
      </w:r>
      <w:r>
        <w:rPr>
          <w:rFonts w:hint="eastAsia" w:ascii="仿宋_GB2312" w:hAnsi="Calibri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成本控制在预算之内</w:t>
      </w:r>
      <w:r>
        <w:rPr>
          <w:rFonts w:hint="eastAsia" w:ascii="仿宋_GB2312" w:hAnsi="Calibri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，工作满意率95%。</w:t>
      </w:r>
    </w:p>
    <w:p>
      <w:pPr>
        <w:spacing w:line="540" w:lineRule="exact"/>
        <w:ind w:firstLine="640" w:firstLineChars="200"/>
        <w:rPr>
          <w:rFonts w:hint="eastAsia" w:ascii="仿宋_GB2312" w:hAnsi="Calibri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仿宋_GB2312" w:hAnsi="Calibri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年，市</w:t>
      </w:r>
      <w:r>
        <w:rPr>
          <w:rFonts w:hint="eastAsia" w:ascii="仿宋_GB2312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木本粮油产业发展中心</w:t>
      </w:r>
      <w:r>
        <w:rPr>
          <w:rFonts w:hint="eastAsia" w:ascii="仿宋_GB2312" w:hAnsi="Calibri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组织对全市11个县（区）进行核桃产业技术指导</w:t>
      </w:r>
      <w:r>
        <w:rPr>
          <w:rFonts w:hint="eastAsia" w:ascii="仿宋_GB2312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5次</w:t>
      </w:r>
      <w:r>
        <w:rPr>
          <w:rFonts w:hint="eastAsia" w:ascii="仿宋_GB2312" w:hAnsi="Calibri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，开展核桃技术培训7次，</w:t>
      </w:r>
      <w:r>
        <w:rPr>
          <w:rFonts w:hint="eastAsia" w:ascii="仿宋_GB2312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开展核桃绩效考评1次</w:t>
      </w:r>
      <w:r>
        <w:rPr>
          <w:rFonts w:hint="eastAsia" w:ascii="仿宋_GB2312" w:hAnsi="Calibri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采购办公耗材、办公用品、党报党刊等</w:t>
      </w:r>
      <w:r>
        <w:rPr>
          <w:rFonts w:hint="eastAsia" w:ascii="仿宋_GB2312" w:hAnsi="Calibri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Calibri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通过开展核桃产业技术指导、产业宣传</w:t>
      </w:r>
      <w:r>
        <w:rPr>
          <w:rFonts w:hint="eastAsia" w:ascii="仿宋_GB2312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、绩效考评</w:t>
      </w:r>
      <w:r>
        <w:rPr>
          <w:rFonts w:hint="eastAsia" w:ascii="仿宋_GB2312" w:hAnsi="Calibri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等工作，全市核桃产业种植、管护、加工等各项工作井然有序，基层核桃技术人员得到培训指导，技能得以成长，核桃产业健康持续发展，改善了石漠化地区生态环境，修复了生态链</w:t>
      </w:r>
      <w:r>
        <w:rPr>
          <w:rFonts w:hint="eastAsia" w:ascii="仿宋_GB2312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Calibri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服务和培训对象满意度达95%以上。</w:t>
      </w:r>
    </w:p>
    <w:p>
      <w:pPr>
        <w:spacing w:line="540" w:lineRule="exact"/>
        <w:ind w:firstLine="640" w:firstLineChars="200"/>
        <w:rPr>
          <w:rFonts w:hint="eastAsia" w:ascii="仿宋_GB2312" w:hAnsi="Calibri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综上所述，核桃产业发展经费项目支出绩效评价自评总分100分，已完成年度绩效目标。</w:t>
      </w:r>
    </w:p>
    <w:p>
      <w:pPr>
        <w:spacing w:line="540" w:lineRule="exact"/>
        <w:ind w:firstLine="640" w:firstLineChars="200"/>
        <w:rPr>
          <w:rFonts w:hint="eastAsia" w:ascii="楷体_GB2312" w:eastAsia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（三）总体自我评价</w:t>
      </w:r>
    </w:p>
    <w:p>
      <w:pPr>
        <w:spacing w:line="540" w:lineRule="exact"/>
        <w:ind w:firstLine="640" w:firstLineChars="200"/>
        <w:rPr>
          <w:rFonts w:hint="eastAsia" w:ascii="仿宋_GB2312" w:hAnsi="Calibri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项目严格按照年初制定的进行实施，单位常规运转办公费主要用于购买耗材、电脑、相机等，均按照政府采购要求进行，绩效考评差旅费、技术指导费均严格按照单位审批进行，按时按质按量完成了项目绩效目标。</w:t>
      </w:r>
    </w:p>
    <w:p>
      <w:pPr>
        <w:spacing w:line="540" w:lineRule="exact"/>
        <w:ind w:firstLine="640" w:firstLineChars="200"/>
        <w:rPr>
          <w:rFonts w:hint="eastAsia" w:ascii="黑体" w:hAns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四、主要经验做法、存在的问题和原因分析</w:t>
      </w:r>
    </w:p>
    <w:p>
      <w:pPr>
        <w:spacing w:line="540" w:lineRule="exact"/>
        <w:ind w:firstLine="640" w:firstLineChars="200"/>
        <w:rPr>
          <w:rFonts w:hint="eastAsia" w:ascii="仿宋_GB2312" w:hAnsi="Calibri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把好的经验总结出来、分析项目存在的问题及其原因（包括绩效管理方面的问题）</w:t>
      </w:r>
    </w:p>
    <w:p>
      <w:pPr>
        <w:spacing w:line="540" w:lineRule="exact"/>
        <w:ind w:firstLine="640" w:firstLineChars="200"/>
        <w:rPr>
          <w:rFonts w:hint="eastAsia" w:ascii="仿宋_GB2312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五、工作改进建议</w:t>
      </w:r>
    </w:p>
    <w:p>
      <w:pPr>
        <w:rPr>
          <w:rFonts w:hint="default" w:ascii="仿宋_GB2312" w:hAnsi="Calibri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Calibri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 针对分析项目存在的问题提出改进建议（与问题一一对应来写）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335FA7"/>
    <w:multiLevelType w:val="singleLevel"/>
    <w:tmpl w:val="FD335FA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yZmQwNWJjNTczZWIzYmEwMDRlNWRhNjkxZWRjNjEifQ=="/>
  </w:docVars>
  <w:rsids>
    <w:rsidRoot w:val="62B42817"/>
    <w:rsid w:val="00871E54"/>
    <w:rsid w:val="008D6EFA"/>
    <w:rsid w:val="00E0567C"/>
    <w:rsid w:val="03F21FCB"/>
    <w:rsid w:val="05647610"/>
    <w:rsid w:val="05653DFF"/>
    <w:rsid w:val="05713598"/>
    <w:rsid w:val="1C86077F"/>
    <w:rsid w:val="299F5007"/>
    <w:rsid w:val="2C823149"/>
    <w:rsid w:val="2ED56707"/>
    <w:rsid w:val="3A3371FC"/>
    <w:rsid w:val="3AEF68EE"/>
    <w:rsid w:val="3BE6460F"/>
    <w:rsid w:val="43E306FC"/>
    <w:rsid w:val="45E376E7"/>
    <w:rsid w:val="54053F2C"/>
    <w:rsid w:val="5EE00C0F"/>
    <w:rsid w:val="62B42817"/>
    <w:rsid w:val="64DB091C"/>
    <w:rsid w:val="66257ECC"/>
    <w:rsid w:val="6BF81548"/>
    <w:rsid w:val="6C8D533C"/>
    <w:rsid w:val="750C7401"/>
    <w:rsid w:val="760E66EB"/>
    <w:rsid w:val="78F03C8D"/>
    <w:rsid w:val="790C714F"/>
    <w:rsid w:val="7D19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</Company>
  <Pages>5</Pages>
  <Words>2397</Words>
  <Characters>2518</Characters>
  <Lines>3</Lines>
  <Paragraphs>1</Paragraphs>
  <TotalTime>2</TotalTime>
  <ScaleCrop>false</ScaleCrop>
  <LinksUpToDate>false</LinksUpToDate>
  <CharactersWithSpaces>2548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2021-05-26T12:51:00Z</dcterms:created>
  <dc:creator>Administrator</dc:creator>
  <cp:lastModifiedBy>伊丽莎白三世</cp:lastModifiedBy>
  <dcterms:modified xsi:type="dcterms:W3CDTF">2022-10-24T09:11:56Z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4CC872EDF2524E5296F5BB01D44B478D</vt:lpwstr>
  </property>
  <property fmtid="{D5CDD505-2E9C-101B-9397-08002B2CF9AE}" pid="4" name="commondata">
    <vt:lpwstr>eyJoZGlkIjoiZWQ2YTljNmY1NzMzNGE0YjQxZjFjNjRiNzA4NjJmYzMifQ==</vt:lpwstr>
  </property>
</Properties>
</file>