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1</w:t>
      </w:r>
    </w:p>
    <w:tbl>
      <w:tblPr>
        <w:tblStyle w:val="3"/>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3722"/>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6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6852"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木本粮油中心工作经费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46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6852"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6852"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3722"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3722"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372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2464"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6852" w:type="dxa"/>
            <w:gridSpan w:val="2"/>
            <w:tcBorders>
              <w:bottom w:val="single" w:color="auto" w:sz="4" w:space="0"/>
            </w:tcBorders>
            <w:noWrap w:val="0"/>
            <w:vAlign w:val="center"/>
          </w:tcPr>
          <w:p>
            <w:pPr>
              <w:rPr>
                <w:rFonts w:hint="eastAsia" w:ascii="宋体" w:hAnsi="宋体" w:cs="宋体"/>
                <w:color w:val="000000"/>
                <w:sz w:val="21"/>
                <w:szCs w:val="21"/>
              </w:rPr>
            </w:pPr>
            <w:r>
              <w:rPr>
                <w:rFonts w:hint="eastAsia" w:ascii="宋体" w:hAnsi="宋体" w:cs="宋体"/>
                <w:b/>
                <w:bCs/>
                <w:color w:val="000000"/>
                <w:sz w:val="21"/>
                <w:szCs w:val="21"/>
              </w:rPr>
              <w:t>项目主要内容：</w:t>
            </w:r>
            <w:r>
              <w:rPr>
                <w:rFonts w:hint="eastAsia" w:ascii="宋体" w:hAnsi="宋体" w:cs="宋体"/>
                <w:color w:val="000000"/>
                <w:sz w:val="21"/>
                <w:szCs w:val="21"/>
              </w:rPr>
              <w:t>组织对全市十一个县（区）市级开展核桃产业专项绩效考评检查1次，每次12人，考评检查4天；开展技术指导工作4次，每次11人，每次技术指导3天；木本粮油中心单位常规运转办公，采购办公耗材、设备等，支付水电费、印刷费、邮电费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lang w:val="en-US" w:eastAsia="zh-CN"/>
              </w:rPr>
            </w:pPr>
            <w:r>
              <w:rPr>
                <w:rFonts w:hint="eastAsia" w:ascii="宋体" w:hAnsi="宋体" w:cs="宋体"/>
                <w:b/>
                <w:bCs/>
                <w:color w:val="000000"/>
                <w:sz w:val="21"/>
                <w:szCs w:val="21"/>
              </w:rPr>
              <w:t>项目申请理由：</w:t>
            </w:r>
            <w:r>
              <w:rPr>
                <w:rFonts w:hint="eastAsia" w:ascii="宋体" w:hAnsi="宋体" w:cs="宋体"/>
                <w:color w:val="000000"/>
                <w:sz w:val="21"/>
                <w:szCs w:val="21"/>
              </w:rPr>
              <w:t>根据河办发〔2016〕21号、河办发〔2016〕71号、河办发〔2018〕70号，河池市核桃种植面积已完成260万亩，各县（区）历年种植的核桃陆续初花初果，产量逐步增加，西部凤山、天峨核桃产业已形成产量，经济效益逐步显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2464"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685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rPr>
            </w:pPr>
            <w:r>
              <w:rPr>
                <w:rFonts w:hint="eastAsia" w:ascii="仿宋_GB2312"/>
                <w:sz w:val="21"/>
                <w:szCs w:val="21"/>
              </w:rPr>
              <w:t>河池市核桃产业发展局（含市林科院）核定编制45名，现有在职在编职工40人，其中具有高级专业技术职称</w:t>
            </w:r>
            <w:r>
              <w:rPr>
                <w:rFonts w:ascii="仿宋_GB2312"/>
                <w:sz w:val="21"/>
                <w:szCs w:val="21"/>
              </w:rPr>
              <w:t>2</w:t>
            </w:r>
            <w:r>
              <w:rPr>
                <w:rFonts w:hint="eastAsia" w:ascii="仿宋_GB2312"/>
                <w:sz w:val="21"/>
                <w:szCs w:val="21"/>
              </w:rPr>
              <w:t>人，中级职称12人，初级职称10人。是全国唯一的地级市核桃局，同时还聘请了国内有关核桃著名专家5人，全市11个县（区）的核桃局（办）有98名工作人员，有887名乡村级核桃技术员，技术力量雄厚。近年来，在岩溶地区泡核桃生产技术推广和科研方面，取得显著的成果，为</w:t>
            </w:r>
            <w:r>
              <w:rPr>
                <w:rFonts w:hint="eastAsia" w:ascii="宋体" w:hAnsi="宋体" w:cs="宋体"/>
                <w:sz w:val="21"/>
                <w:szCs w:val="21"/>
              </w:rPr>
              <w:t>建成华南地区最大的核桃产业基地奠定了坚实的基础。</w:t>
            </w:r>
          </w:p>
        </w:tc>
      </w:tr>
    </w:tbl>
    <w:p>
      <w:pPr>
        <w:rPr>
          <w:rFonts w:hint="eastAsia" w:ascii="宋体" w:hAnsi="宋体"/>
          <w:b/>
          <w:bCs/>
          <w:color w:val="auto"/>
          <w:sz w:val="28"/>
          <w:szCs w:val="28"/>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1</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3"/>
        <w:tblW w:w="0" w:type="auto"/>
        <w:tblInd w:w="196" w:type="dxa"/>
        <w:tblLayout w:type="fixed"/>
        <w:tblCellMar>
          <w:top w:w="0" w:type="dxa"/>
          <w:left w:w="54" w:type="dxa"/>
          <w:bottom w:w="0" w:type="dxa"/>
          <w:right w:w="54" w:type="dxa"/>
        </w:tblCellMar>
      </w:tblPr>
      <w:tblGrid>
        <w:gridCol w:w="2198"/>
        <w:gridCol w:w="3614"/>
        <w:gridCol w:w="2515"/>
      </w:tblGrid>
      <w:tr>
        <w:tblPrEx>
          <w:tblCellMar>
            <w:top w:w="0" w:type="dxa"/>
            <w:left w:w="54" w:type="dxa"/>
            <w:bottom w:w="0" w:type="dxa"/>
            <w:right w:w="54" w:type="dxa"/>
          </w:tblCellMar>
        </w:tblPrEx>
        <w:trPr>
          <w:trHeight w:val="454" w:hRule="exact"/>
        </w:trPr>
        <w:tc>
          <w:tcPr>
            <w:tcW w:w="2198" w:type="dxa"/>
            <w:vMerge w:val="restart"/>
            <w:tcBorders>
              <w:top w:val="single" w:color="auto" w:sz="6" w:space="0"/>
              <w:left w:val="single" w:color="auto" w:sz="4" w:space="0"/>
              <w:right w:val="single" w:color="auto" w:sz="6"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3614"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办公设备购置费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3.3</w:t>
            </w:r>
          </w:p>
        </w:tc>
      </w:tr>
      <w:tr>
        <w:tblPrEx>
          <w:tblCellMar>
            <w:top w:w="0" w:type="dxa"/>
            <w:left w:w="54" w:type="dxa"/>
            <w:bottom w:w="0" w:type="dxa"/>
            <w:right w:w="54" w:type="dxa"/>
          </w:tblCellMar>
        </w:tblPrEx>
        <w:trPr>
          <w:trHeight w:val="709"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办公费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5.2</w:t>
            </w:r>
          </w:p>
        </w:tc>
      </w:tr>
      <w:tr>
        <w:tblPrEx>
          <w:tblCellMar>
            <w:top w:w="0" w:type="dxa"/>
            <w:left w:w="54" w:type="dxa"/>
            <w:bottom w:w="0" w:type="dxa"/>
            <w:right w:w="54" w:type="dxa"/>
          </w:tblCellMar>
        </w:tblPrEx>
        <w:trPr>
          <w:trHeight w:val="622"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印刷费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水费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0.2</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电费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0.9</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邮电费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0.4</w:t>
            </w:r>
          </w:p>
        </w:tc>
      </w:tr>
      <w:tr>
        <w:tblPrEx>
          <w:tblCellMar>
            <w:top w:w="0" w:type="dxa"/>
            <w:left w:w="54" w:type="dxa"/>
            <w:bottom w:w="0" w:type="dxa"/>
            <w:right w:w="54" w:type="dxa"/>
          </w:tblCellMar>
        </w:tblPrEx>
        <w:trPr>
          <w:trHeight w:val="6585" w:hRule="atLeast"/>
        </w:trPr>
        <w:tc>
          <w:tcPr>
            <w:tcW w:w="2198"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单位常规运转办公费11万元用于党建工作经费和购买办公耗材、办公用品、办公设备、专业杂志、党报党刊、资料打印等；二、绩效考评差旅费2.4万元用于市级组织开展核桃产业绩效考评检查1次，每次4天12人；三、技术指导差旅费6.6万元用于开展技术指导工作4次，每次3天11人。具体如下：①办公设备购置费3.2万元用于购买电脑1台、无人机1台；②办公费5.2万元用于党建工作经费和购买办公耗材、办公用品、专业杂志、党报党刊等；③印刷费1万元；④水费0.2万元；⑤电费0.9万元；⑥邮电费0.4万；⑦ 差旅费9万元用于绩效考评检查2.4万元和技术指导6.6万元。</w:t>
            </w:r>
          </w:p>
        </w:tc>
      </w:tr>
    </w:tbl>
    <w:p>
      <w:pPr>
        <w:spacing w:line="480" w:lineRule="exact"/>
        <w:ind w:right="-272" w:rightChars="-85"/>
        <w:rPr>
          <w:rFonts w:hint="eastAsia" w:ascii="仿宋_GB2312" w:eastAsia="仿宋_GB2312"/>
          <w:color w:val="auto"/>
          <w:w w:val="90"/>
          <w:sz w:val="30"/>
          <w:szCs w:val="30"/>
        </w:rPr>
      </w:pPr>
    </w:p>
    <w:p>
      <w:pPr>
        <w:rPr>
          <w:rFonts w:hint="eastAsia" w:ascii="宋体" w:hAnsi="宋体"/>
          <w:b/>
          <w:bCs/>
          <w:color w:val="auto"/>
          <w:sz w:val="28"/>
          <w:szCs w:val="28"/>
        </w:rPr>
      </w:pPr>
    </w:p>
    <w:p>
      <w:pPr>
        <w:pStyle w:val="2"/>
        <w:rPr>
          <w:rFonts w:hint="eastAsia"/>
        </w:rPr>
      </w:pPr>
    </w:p>
    <w:p>
      <w:pPr>
        <w:snapToGrid w:val="0"/>
        <w:spacing w:line="480" w:lineRule="auto"/>
        <w:jc w:val="center"/>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2</w:t>
      </w:r>
    </w:p>
    <w:tbl>
      <w:tblPr>
        <w:tblStyle w:val="3"/>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2962"/>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22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6092"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核桃产业发展工作经费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2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6092"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6092"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962"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962"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96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96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3224"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60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项目主要内容：河池市核桃种植面积已发展到260万亩，分布在11个县（区）、138个乡镇、1556个村（社区），涉及核桃种植农户37.617万户，人口142.9万人 。市委、市人民政府要求开展核桃提质增效工作，升级核桃产业，到2025年要实现如下目标：全市核桃总面积发展到300万亩，投产面积80万亩，产量6万吨，产值20亿元，核桃产业发展覆盖农户50%以上。全市30万亩“万千百”核桃高产栽培示范基地80%投产，产量2.7万吨，产值9亿元，力争将河池打造成华南最大的食用木本油料及果品生产基地。要求从巩固现有面积，逐步发展新种面积；坚持示范带动，突出抓好管护；建立良种繁育基地，开展核桃品种选育；强化核桃深加工，提高产品附加值，强化科技支撑，打造河池核桃公共品牌等5个方面开展工作。</w:t>
            </w:r>
            <w:r>
              <w:rPr>
                <w:rFonts w:hint="eastAsia" w:ascii="宋体" w:hAnsi="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lang w:val="en-US" w:eastAsia="zh-CN"/>
              </w:rPr>
            </w:pPr>
            <w:r>
              <w:rPr>
                <w:rFonts w:hint="eastAsia" w:ascii="宋体" w:hAnsi="宋体" w:cs="宋体"/>
                <w:b w:val="0"/>
                <w:bCs w:val="0"/>
                <w:color w:val="auto"/>
                <w:sz w:val="24"/>
                <w:szCs w:val="24"/>
              </w:rPr>
              <w:t>项目申请理由</w:t>
            </w:r>
            <w:r>
              <w:rPr>
                <w:rFonts w:hint="eastAsia" w:ascii="宋体" w:hAnsi="宋体"/>
                <w:color w:val="000000"/>
                <w:sz w:val="21"/>
              </w:rPr>
              <w:t>根据《河池市推进“十大百万”扶贫产业提质增效实施意见（2018－2025年）的通知》（河办发〔2018〕70号）、《关于印发河池市核桃扶贫产业提质增效工作实施方案（2018-2025年）的通知》（河办发〔2018〕102号）、《关于河池市核桃优良品种选育项目立项相关事项的批复》（河政函〔2018〕313号）合作共建西北农林科技大学河池市核桃试验工作站协议等文件精神，市委、市人民政府要求开展核桃提质增效工作，升级核桃产业，到 2025 年要实现全市核桃总面积发展到300万亩，投产面积80万亩，产量6万吨，产值20亿元。力争将河池打造成华南最大的食用木本油料及果品生产基地。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3224"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60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rPr>
            </w:pPr>
            <w:r>
              <w:rPr>
                <w:rFonts w:hint="eastAsia" w:ascii="仿宋_GB2312"/>
                <w:sz w:val="21"/>
              </w:rPr>
              <w:t>河池市木本粮油产业发展中心（含市林科院）核定编制45名，现有在职在编职工40人，其中具有高级专业技术职称</w:t>
            </w:r>
            <w:r>
              <w:rPr>
                <w:rFonts w:ascii="仿宋_GB2312"/>
                <w:sz w:val="21"/>
              </w:rPr>
              <w:t>2</w:t>
            </w:r>
            <w:r>
              <w:rPr>
                <w:rFonts w:hint="eastAsia" w:ascii="仿宋_GB2312"/>
                <w:sz w:val="21"/>
              </w:rPr>
              <w:t>人，中级职称12人，初级职称10人。全市11个县（区）的木本粮油产业发展中心有98名工作人员，有887名乡村级核桃技术员，技术力量雄厚。近年来，在岩溶地区泡核桃生产技术推广和科研方面，取得显著的成果，为建成华南地区最大的核桃产业基地奠定了坚实的基础。</w:t>
            </w:r>
          </w:p>
        </w:tc>
      </w:tr>
    </w:tbl>
    <w:p>
      <w:pPr>
        <w:rPr>
          <w:rFonts w:hint="eastAsia" w:ascii="宋体" w:hAnsi="宋体"/>
          <w:b/>
          <w:bCs/>
          <w:color w:val="auto"/>
          <w:sz w:val="28"/>
          <w:szCs w:val="28"/>
        </w:rPr>
      </w:pPr>
    </w:p>
    <w:p>
      <w:pPr>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jc w:val="center"/>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2</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3"/>
        <w:tblW w:w="8327" w:type="dxa"/>
        <w:tblInd w:w="196" w:type="dxa"/>
        <w:tblLayout w:type="fixed"/>
        <w:tblCellMar>
          <w:top w:w="0" w:type="dxa"/>
          <w:left w:w="54" w:type="dxa"/>
          <w:bottom w:w="0" w:type="dxa"/>
          <w:right w:w="54" w:type="dxa"/>
        </w:tblCellMar>
      </w:tblPr>
      <w:tblGrid>
        <w:gridCol w:w="963"/>
        <w:gridCol w:w="4849"/>
        <w:gridCol w:w="2515"/>
      </w:tblGrid>
      <w:tr>
        <w:tblPrEx>
          <w:tblCellMar>
            <w:top w:w="0" w:type="dxa"/>
            <w:left w:w="54" w:type="dxa"/>
            <w:bottom w:w="0" w:type="dxa"/>
            <w:right w:w="54" w:type="dxa"/>
          </w:tblCellMar>
        </w:tblPrEx>
        <w:trPr>
          <w:trHeight w:val="454" w:hRule="exact"/>
        </w:trPr>
        <w:tc>
          <w:tcPr>
            <w:tcW w:w="963" w:type="dxa"/>
            <w:vMerge w:val="restart"/>
            <w:tcBorders>
              <w:top w:val="single" w:color="auto" w:sz="6" w:space="0"/>
              <w:left w:val="single" w:color="auto" w:sz="4" w:space="0"/>
              <w:right w:val="single" w:color="auto" w:sz="6" w:space="0"/>
            </w:tcBorders>
            <w:noWrap w:val="0"/>
            <w:vAlign w:val="top"/>
          </w:tcPr>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r>
              <w:rPr>
                <w:rFonts w:hint="eastAsia" w:ascii="宋体" w:hAnsi="宋体" w:cs="宋体"/>
                <w:color w:val="auto"/>
                <w:sz w:val="24"/>
              </w:rPr>
              <w:t>项</w:t>
            </w:r>
          </w:p>
          <w:p>
            <w:pPr>
              <w:spacing w:line="320" w:lineRule="exact"/>
              <w:jc w:val="center"/>
              <w:rPr>
                <w:rFonts w:hint="eastAsia" w:ascii="宋体" w:hAnsi="宋体" w:cs="宋体"/>
                <w:color w:val="auto"/>
                <w:sz w:val="24"/>
              </w:rPr>
            </w:pPr>
            <w:r>
              <w:rPr>
                <w:rFonts w:hint="eastAsia" w:ascii="宋体" w:hAnsi="宋体" w:cs="宋体"/>
                <w:color w:val="auto"/>
                <w:sz w:val="24"/>
              </w:rPr>
              <w:t>目</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支</w:t>
            </w:r>
          </w:p>
          <w:p>
            <w:pPr>
              <w:spacing w:line="400" w:lineRule="exact"/>
              <w:jc w:val="center"/>
              <w:rPr>
                <w:rFonts w:hint="eastAsia" w:ascii="宋体" w:hAnsi="宋体" w:cs="宋体"/>
                <w:color w:val="auto"/>
                <w:sz w:val="24"/>
              </w:rPr>
            </w:pPr>
            <w:r>
              <w:rPr>
                <w:rFonts w:hint="eastAsia" w:ascii="宋体" w:hAnsi="宋体" w:cs="宋体"/>
                <w:color w:val="auto"/>
                <w:sz w:val="24"/>
              </w:rPr>
              <w:t>出</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明</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细</w:t>
            </w:r>
          </w:p>
          <w:p>
            <w:pPr>
              <w:spacing w:line="320" w:lineRule="exact"/>
              <w:jc w:val="center"/>
              <w:rPr>
                <w:rFonts w:hint="eastAsia" w:ascii="宋体" w:hAnsi="宋体" w:cs="宋体"/>
                <w:color w:val="auto"/>
                <w:sz w:val="24"/>
              </w:rPr>
            </w:pPr>
          </w:p>
        </w:tc>
        <w:tc>
          <w:tcPr>
            <w:tcW w:w="4849"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专用材料费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r>
      <w:tr>
        <w:tblPrEx>
          <w:tblCellMar>
            <w:top w:w="0" w:type="dxa"/>
            <w:left w:w="54" w:type="dxa"/>
            <w:bottom w:w="0" w:type="dxa"/>
            <w:right w:w="54" w:type="dxa"/>
          </w:tblCellMar>
        </w:tblPrEx>
        <w:trPr>
          <w:trHeight w:val="709"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rPr>
              <w:t>劳务费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r>
      <w:tr>
        <w:tblPrEx>
          <w:tblCellMar>
            <w:top w:w="0" w:type="dxa"/>
            <w:left w:w="54" w:type="dxa"/>
            <w:bottom w:w="0" w:type="dxa"/>
            <w:right w:w="54" w:type="dxa"/>
          </w:tblCellMar>
        </w:tblPrEx>
        <w:trPr>
          <w:trHeight w:val="622"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培训费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办公费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印刷费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其他交通费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r>
      <w:tr>
        <w:tblPrEx>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其他工资福利支出</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r>
      <w:tr>
        <w:tblPrEx>
          <w:tblCellMar>
            <w:top w:w="0" w:type="dxa"/>
            <w:left w:w="54" w:type="dxa"/>
            <w:bottom w:w="0" w:type="dxa"/>
            <w:right w:w="54" w:type="dxa"/>
          </w:tblCellMar>
        </w:tblPrEx>
        <w:trPr>
          <w:trHeight w:val="6585" w:hRule="atLeast"/>
        </w:trPr>
        <w:tc>
          <w:tcPr>
            <w:tcW w:w="963"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明</w:t>
            </w:r>
          </w:p>
        </w:tc>
        <w:tc>
          <w:tcPr>
            <w:tcW w:w="736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一、核桃产业提质增效工作</w:t>
            </w:r>
            <w:r>
              <w:rPr>
                <w:rFonts w:hint="eastAsia" w:ascii="宋体" w:hAnsi="宋体" w:cs="宋体"/>
                <w:color w:val="auto"/>
                <w:sz w:val="24"/>
                <w:lang w:val="en-US" w:eastAsia="zh-CN"/>
              </w:rPr>
              <w:t>48</w:t>
            </w:r>
            <w:r>
              <w:rPr>
                <w:rFonts w:hint="eastAsia" w:ascii="宋体" w:hAnsi="宋体" w:cs="宋体"/>
                <w:color w:val="auto"/>
                <w:sz w:val="24"/>
              </w:rPr>
              <w:t>万元。其中西北农林科技大学河池市核桃试验工作站建设经费</w:t>
            </w:r>
            <w:r>
              <w:rPr>
                <w:rFonts w:hint="eastAsia" w:ascii="宋体" w:hAnsi="宋体" w:cs="宋体"/>
                <w:color w:val="auto"/>
                <w:sz w:val="24"/>
                <w:lang w:val="en-US" w:eastAsia="zh-CN"/>
              </w:rPr>
              <w:t>13</w:t>
            </w:r>
            <w:r>
              <w:rPr>
                <w:rFonts w:hint="eastAsia" w:ascii="宋体" w:hAnsi="宋体" w:cs="宋体"/>
                <w:color w:val="auto"/>
                <w:sz w:val="24"/>
              </w:rPr>
              <w:t>万元，核桃优新品种推广16万元（高接换冠本地技术队伍培养和优新品种穗条采购），核桃大树高接换冠示范项目10万元，聘请专家顾问、进行咨询以及返聘人员工资等9万元。二、核桃产业常规业务工作</w:t>
            </w:r>
            <w:r>
              <w:rPr>
                <w:rFonts w:hint="eastAsia" w:ascii="宋体" w:hAnsi="宋体" w:cs="宋体"/>
                <w:color w:val="auto"/>
                <w:sz w:val="24"/>
                <w:lang w:val="en-US" w:eastAsia="zh-CN"/>
              </w:rPr>
              <w:t>22</w:t>
            </w:r>
            <w:r>
              <w:rPr>
                <w:rFonts w:hint="eastAsia" w:ascii="宋体" w:hAnsi="宋体" w:cs="宋体"/>
                <w:color w:val="auto"/>
                <w:sz w:val="24"/>
              </w:rPr>
              <w:t>万元。其中开展核桃技术培训</w:t>
            </w:r>
            <w:r>
              <w:rPr>
                <w:rFonts w:hint="eastAsia" w:ascii="宋体" w:hAnsi="宋体" w:cs="宋体"/>
                <w:color w:val="auto"/>
                <w:sz w:val="24"/>
                <w:lang w:val="en-US" w:eastAsia="zh-CN"/>
              </w:rPr>
              <w:t>8</w:t>
            </w:r>
            <w:r>
              <w:rPr>
                <w:rFonts w:hint="eastAsia" w:ascii="宋体" w:hAnsi="宋体" w:cs="宋体"/>
                <w:color w:val="auto"/>
                <w:sz w:val="24"/>
              </w:rPr>
              <w:t>万元，做好核桃产业宣传</w:t>
            </w:r>
            <w:r>
              <w:rPr>
                <w:rFonts w:hint="eastAsia" w:ascii="宋体" w:hAnsi="宋体" w:cs="宋体"/>
                <w:color w:val="auto"/>
                <w:sz w:val="24"/>
                <w:lang w:val="en-US" w:eastAsia="zh-CN"/>
              </w:rPr>
              <w:t>4</w:t>
            </w:r>
            <w:r>
              <w:rPr>
                <w:rFonts w:hint="eastAsia" w:ascii="宋体" w:hAnsi="宋体" w:cs="宋体"/>
                <w:color w:val="auto"/>
                <w:sz w:val="24"/>
              </w:rPr>
              <w:t>万元，召开全市核桃产业发展现场会、工作布置会等3次5万元</w:t>
            </w:r>
            <w:r>
              <w:rPr>
                <w:rFonts w:hint="eastAsia" w:ascii="宋体" w:hAnsi="宋体" w:cs="宋体"/>
                <w:color w:val="auto"/>
                <w:sz w:val="24"/>
                <w:lang w:eastAsia="zh-CN"/>
              </w:rPr>
              <w:t>，</w:t>
            </w:r>
            <w:r>
              <w:rPr>
                <w:rFonts w:hint="eastAsia" w:ascii="宋体" w:hAnsi="宋体" w:cs="宋体"/>
                <w:color w:val="auto"/>
                <w:sz w:val="24"/>
                <w:lang w:val="en-US" w:eastAsia="zh-CN"/>
              </w:rPr>
              <w:t>其他交通费5万元</w:t>
            </w:r>
            <w:r>
              <w:rPr>
                <w:rFonts w:hint="eastAsia" w:ascii="宋体" w:hAnsi="宋体" w:cs="宋体"/>
                <w:color w:val="auto"/>
                <w:sz w:val="24"/>
              </w:rPr>
              <w:t>。具体如下：①专用材料费</w:t>
            </w:r>
            <w:r>
              <w:rPr>
                <w:rFonts w:hint="eastAsia" w:ascii="宋体" w:hAnsi="宋体" w:cs="宋体"/>
                <w:color w:val="auto"/>
                <w:sz w:val="24"/>
                <w:lang w:val="en-US" w:eastAsia="zh-CN"/>
              </w:rPr>
              <w:t>16</w:t>
            </w:r>
            <w:r>
              <w:rPr>
                <w:rFonts w:hint="eastAsia" w:ascii="宋体" w:hAnsi="宋体" w:cs="宋体"/>
                <w:color w:val="auto"/>
                <w:sz w:val="24"/>
              </w:rPr>
              <w:t>万元用于购买优新品种推广高接换冠穗条、西北农林科技大学河池市核桃试验工作站示范基地使用肥料农药等；②劳务费</w:t>
            </w:r>
            <w:r>
              <w:rPr>
                <w:rFonts w:hint="eastAsia" w:ascii="宋体" w:hAnsi="宋体" w:cs="宋体"/>
                <w:color w:val="auto"/>
                <w:sz w:val="24"/>
                <w:lang w:val="en-US" w:eastAsia="zh-CN"/>
              </w:rPr>
              <w:t>15</w:t>
            </w:r>
            <w:r>
              <w:rPr>
                <w:rFonts w:hint="eastAsia" w:ascii="宋体" w:hAnsi="宋体" w:cs="宋体"/>
                <w:color w:val="auto"/>
                <w:sz w:val="24"/>
              </w:rPr>
              <w:t>万元用于西北农林科技大学河池市核桃试验工作站示范基地管护和专家劳务费以及核桃大树高接换冠示范项目劳务费等；③差旅费</w:t>
            </w:r>
            <w:r>
              <w:rPr>
                <w:rFonts w:hint="eastAsia" w:ascii="宋体" w:hAnsi="宋体" w:cs="宋体"/>
                <w:color w:val="auto"/>
                <w:sz w:val="24"/>
                <w:lang w:val="en-US" w:eastAsia="zh-CN"/>
              </w:rPr>
              <w:t>8</w:t>
            </w:r>
            <w:r>
              <w:rPr>
                <w:rFonts w:hint="eastAsia" w:ascii="宋体" w:hAnsi="宋体" w:cs="宋体"/>
                <w:color w:val="auto"/>
                <w:sz w:val="24"/>
              </w:rPr>
              <w:t>万元用于开展西北农林科技大学河池市核桃试验工作站、大树高接换冠项目等工作；④培训费</w:t>
            </w:r>
            <w:r>
              <w:rPr>
                <w:rFonts w:hint="eastAsia" w:ascii="宋体" w:hAnsi="宋体" w:cs="宋体"/>
                <w:color w:val="auto"/>
                <w:sz w:val="24"/>
                <w:lang w:val="en-US" w:eastAsia="zh-CN"/>
              </w:rPr>
              <w:t>8</w:t>
            </w:r>
            <w:r>
              <w:rPr>
                <w:rFonts w:hint="eastAsia" w:ascii="宋体" w:hAnsi="宋体" w:cs="宋体"/>
                <w:color w:val="auto"/>
                <w:sz w:val="24"/>
              </w:rPr>
              <w:t>万元用于开展核桃技术培训8次，培训人数560人次；⑤办公费</w:t>
            </w:r>
            <w:r>
              <w:rPr>
                <w:rFonts w:hint="eastAsia" w:ascii="宋体" w:hAnsi="宋体" w:cs="宋体"/>
                <w:color w:val="auto"/>
                <w:sz w:val="24"/>
                <w:lang w:val="en-US" w:eastAsia="zh-CN"/>
              </w:rPr>
              <w:t>5</w:t>
            </w:r>
            <w:r>
              <w:rPr>
                <w:rFonts w:hint="eastAsia" w:ascii="宋体" w:hAnsi="宋体" w:cs="宋体"/>
                <w:color w:val="auto"/>
                <w:sz w:val="24"/>
              </w:rPr>
              <w:t>万用于开展核桃宣传工作；⑥印刷费</w:t>
            </w:r>
            <w:r>
              <w:rPr>
                <w:rFonts w:hint="eastAsia" w:ascii="宋体" w:hAnsi="宋体" w:cs="宋体"/>
                <w:color w:val="auto"/>
                <w:sz w:val="24"/>
                <w:lang w:val="en-US" w:eastAsia="zh-CN"/>
              </w:rPr>
              <w:t>4</w:t>
            </w:r>
            <w:r>
              <w:rPr>
                <w:rFonts w:hint="eastAsia" w:ascii="宋体" w:hAnsi="宋体" w:cs="宋体"/>
                <w:color w:val="auto"/>
                <w:sz w:val="24"/>
              </w:rPr>
              <w:t>万元用于核桃宣传资料打印；⑦其他交通费5万元用于核桃亮点工程示范点、河池市核桃试验工作站、新品种推广高接换冠工作租车；⑧其他工资福利支出9万元用于韦御敏同志返聘工资及绩效。</w:t>
            </w:r>
          </w:p>
        </w:tc>
      </w:tr>
    </w:tbl>
    <w:p>
      <w:pPr>
        <w:rPr>
          <w:rFonts w:hint="eastAsia" w:ascii="宋体" w:hAnsi="宋体"/>
          <w:b/>
          <w:bCs/>
          <w:color w:val="auto"/>
          <w:sz w:val="28"/>
          <w:szCs w:val="28"/>
        </w:rPr>
      </w:pPr>
    </w:p>
    <w:p>
      <w:pPr>
        <w:snapToGrid w:val="0"/>
        <w:spacing w:line="480" w:lineRule="auto"/>
        <w:jc w:val="center"/>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3</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35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830"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486"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“十大百万”核桃扶贫产业发展工作经费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30"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5486"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5486"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356"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356"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3830"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5486" w:type="dxa"/>
            <w:gridSpan w:val="2"/>
            <w:tcBorders>
              <w:bottom w:val="single" w:color="auto" w:sz="4" w:space="0"/>
            </w:tcBorders>
            <w:noWrap w:val="0"/>
            <w:vAlign w:val="center"/>
          </w:tcPr>
          <w:p>
            <w:pPr>
              <w:rPr>
                <w:rFonts w:hint="eastAsia" w:ascii="宋体" w:hAnsi="宋体" w:cs="宋体"/>
                <w:color w:val="000000"/>
                <w:sz w:val="21"/>
                <w:szCs w:val="21"/>
              </w:rPr>
            </w:pPr>
            <w:r>
              <w:rPr>
                <w:rFonts w:hint="eastAsia" w:ascii="宋体" w:hAnsi="宋体" w:cs="宋体"/>
                <w:b/>
                <w:bCs/>
                <w:color w:val="000000"/>
                <w:sz w:val="21"/>
                <w:szCs w:val="21"/>
              </w:rPr>
              <w:t>项目主要内容：</w:t>
            </w:r>
            <w:r>
              <w:rPr>
                <w:rFonts w:hint="eastAsia" w:ascii="仿宋_GB2312"/>
                <w:color w:val="000000"/>
                <w:sz w:val="21"/>
                <w:szCs w:val="21"/>
              </w:rPr>
              <w:t>组织市级开展“十大百万”扶贫产业工程核桃产业专项督查工作等。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lang w:val="en-US" w:eastAsia="zh-CN"/>
              </w:rPr>
            </w:pPr>
            <w:r>
              <w:rPr>
                <w:rFonts w:hint="eastAsia" w:ascii="宋体" w:hAnsi="宋体" w:cs="宋体"/>
                <w:b/>
                <w:bCs/>
                <w:color w:val="000000"/>
                <w:sz w:val="21"/>
                <w:szCs w:val="21"/>
              </w:rPr>
              <w:t>项目申请理由：</w:t>
            </w:r>
            <w:r>
              <w:rPr>
                <w:rFonts w:hint="eastAsia" w:ascii="宋体" w:hAnsi="宋体" w:cs="宋体"/>
                <w:color w:val="000000"/>
                <w:sz w:val="21"/>
                <w:szCs w:val="21"/>
              </w:rPr>
              <w:t>根据河办发〔2016〕21号、河办发﹝2018﹞70号，河池市核桃种植面积已完成260万亩，各县（区）历年种植的核桃陆续初花初果，产量逐步增加，经济效益初步显现。因此，加强对“十大百万”扶贫产业工程——核桃产业各项工作落实情况的监督十分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3830"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548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rPr>
            </w:pPr>
            <w:r>
              <w:rPr>
                <w:rFonts w:hint="eastAsia" w:ascii="仿宋_GB2312"/>
                <w:sz w:val="21"/>
                <w:szCs w:val="21"/>
              </w:rPr>
              <w:t>河池市核桃产业发展局（含市林科院）核定编制45名，现有在职在编职工40人，其中具有高级专业技术职称1人，中级职称12人，初级职称10人。是全国唯一的地级市核桃局，同时还聘请了国内有关核桃著名专家5人，全市11个县（区）的核桃局（办）有98名工作人员，有887名乡村级核桃技术员，技术力量雄厚。核桃产业成立了市、县、乡三级核桃管理体系和市、县、乡、村四级核桃专业技术队伍，管理体系和专业技术队伍建设完善，项目工作开展的技术力量强大。</w:t>
            </w:r>
          </w:p>
        </w:tc>
      </w:tr>
    </w:tbl>
    <w:p>
      <w:pPr>
        <w:rPr>
          <w:rFonts w:hint="eastAsia" w:ascii="宋体" w:hAnsi="宋体"/>
          <w:b/>
          <w:bCs/>
          <w:color w:val="auto"/>
          <w:sz w:val="28"/>
          <w:szCs w:val="28"/>
        </w:rPr>
      </w:pPr>
    </w:p>
    <w:p>
      <w:pPr>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ascii="宋体" w:hAnsi="宋体"/>
          <w:b/>
          <w:bCs/>
          <w:color w:val="auto"/>
          <w:sz w:val="28"/>
          <w:szCs w:val="28"/>
        </w:rPr>
      </w:pPr>
    </w:p>
    <w:p>
      <w:pPr>
        <w:rPr>
          <w:rFonts w:hint="eastAsia" w:ascii="宋体" w:hAnsi="宋体"/>
          <w:b/>
          <w:bCs/>
          <w:color w:val="auto"/>
          <w:sz w:val="28"/>
          <w:szCs w:val="28"/>
        </w:rPr>
      </w:pPr>
    </w:p>
    <w:p>
      <w:pPr>
        <w:pStyle w:val="2"/>
        <w:rPr>
          <w:rFonts w:hint="eastAsia"/>
        </w:rPr>
      </w:pPr>
    </w:p>
    <w:p>
      <w:pPr>
        <w:rPr>
          <w:rFonts w:hint="eastAsia" w:ascii="宋体" w:hAnsi="宋体"/>
          <w:b/>
          <w:bCs/>
          <w:color w:val="auto"/>
          <w:sz w:val="28"/>
          <w:szCs w:val="28"/>
        </w:rPr>
      </w:pPr>
    </w:p>
    <w:p>
      <w:pPr>
        <w:jc w:val="center"/>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3</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3"/>
        <w:tblW w:w="8327" w:type="dxa"/>
        <w:tblInd w:w="196" w:type="dxa"/>
        <w:tblLayout w:type="fixed"/>
        <w:tblCellMar>
          <w:top w:w="0" w:type="dxa"/>
          <w:left w:w="54" w:type="dxa"/>
          <w:bottom w:w="0" w:type="dxa"/>
          <w:right w:w="54" w:type="dxa"/>
        </w:tblCellMar>
      </w:tblPr>
      <w:tblGrid>
        <w:gridCol w:w="2198"/>
        <w:gridCol w:w="3614"/>
        <w:gridCol w:w="2515"/>
      </w:tblGrid>
      <w:tr>
        <w:tblPrEx>
          <w:tblCellMar>
            <w:top w:w="0" w:type="dxa"/>
            <w:left w:w="54" w:type="dxa"/>
            <w:bottom w:w="0" w:type="dxa"/>
            <w:right w:w="54" w:type="dxa"/>
          </w:tblCellMar>
        </w:tblPrEx>
        <w:trPr>
          <w:trHeight w:val="454" w:hRule="exact"/>
        </w:trPr>
        <w:tc>
          <w:tcPr>
            <w:tcW w:w="2198" w:type="dxa"/>
            <w:vMerge w:val="restart"/>
            <w:tcBorders>
              <w:top w:val="single" w:color="auto" w:sz="6" w:space="0"/>
              <w:left w:val="single" w:color="auto" w:sz="4" w:space="0"/>
              <w:right w:val="single" w:color="auto" w:sz="6"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3614"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差旅费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r>
      <w:tr>
        <w:tblPrEx>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p>
        </w:tc>
      </w:tr>
      <w:tr>
        <w:tblPrEx>
          <w:tblCellMar>
            <w:top w:w="0" w:type="dxa"/>
            <w:left w:w="54" w:type="dxa"/>
            <w:bottom w:w="0" w:type="dxa"/>
            <w:right w:w="54" w:type="dxa"/>
          </w:tblCellMar>
        </w:tblPrEx>
        <w:trPr>
          <w:trHeight w:val="6585" w:hRule="atLeast"/>
        </w:trPr>
        <w:tc>
          <w:tcPr>
            <w:tcW w:w="2198"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4"/>
              </w:rPr>
            </w:pPr>
            <w:r>
              <w:rPr>
                <w:rFonts w:hint="eastAsia" w:ascii="宋体" w:hAnsi="宋体" w:cs="宋体"/>
                <w:color w:val="000000"/>
                <w:sz w:val="21"/>
                <w:szCs w:val="21"/>
                <w:lang w:bidi="ar"/>
              </w:rPr>
              <w:t>根据《河池市落实重大决策推进重大项目督查考评激励问责办法（试行）》的通知（河办发〔2016〕21号）和《关于印发《河池市推进“十大百万”扶贫产业提质增效实施意见（2018－2025年）的通知》（河办发〔2018〕70号），组织市级开展核桃产业专项督查等工作2次，每次16人，每次督查约7天。</w:t>
            </w:r>
            <w:r>
              <w:rPr>
                <w:rFonts w:hint="eastAsia" w:ascii="宋体" w:hAnsi="宋体" w:cs="宋体"/>
                <w:color w:val="auto"/>
                <w:sz w:val="24"/>
              </w:rPr>
              <w:t>差旅费10万元。2次×16人/次×7天/次×450元/天≈10万元</w:t>
            </w:r>
          </w:p>
        </w:tc>
      </w:tr>
    </w:tbl>
    <w:p>
      <w:pPr>
        <w:spacing w:line="480" w:lineRule="exact"/>
        <w:ind w:right="-272" w:rightChars="-85"/>
        <w:rPr>
          <w:rFonts w:hint="eastAsia" w:ascii="仿宋_GB2312" w:eastAsia="仿宋_GB2312"/>
          <w:color w:val="auto"/>
          <w:w w:val="90"/>
          <w:sz w:val="30"/>
          <w:szCs w:val="30"/>
        </w:rPr>
      </w:pPr>
    </w:p>
    <w:p>
      <w:pPr>
        <w:snapToGrid w:val="0"/>
        <w:spacing w:line="480" w:lineRule="auto"/>
        <w:jc w:val="center"/>
        <w:rPr>
          <w:rFonts w:hint="eastAsia" w:eastAsia="黑体"/>
          <w:color w:val="auto"/>
          <w:sz w:val="36"/>
          <w:szCs w:val="36"/>
        </w:rPr>
      </w:pPr>
    </w:p>
    <w:p>
      <w:pPr>
        <w:pStyle w:val="2"/>
        <w:rPr>
          <w:rFonts w:hint="eastAsia" w:eastAsia="黑体"/>
          <w:color w:val="auto"/>
          <w:sz w:val="36"/>
          <w:szCs w:val="36"/>
        </w:rPr>
      </w:pPr>
    </w:p>
    <w:p>
      <w:pPr>
        <w:rPr>
          <w:rFonts w:hint="eastAsia" w:eastAsia="黑体"/>
          <w:color w:val="auto"/>
          <w:sz w:val="36"/>
          <w:szCs w:val="36"/>
        </w:rPr>
      </w:pPr>
    </w:p>
    <w:p>
      <w:pPr>
        <w:pStyle w:val="2"/>
        <w:rPr>
          <w:rFonts w:hint="eastAsia" w:eastAsia="黑体"/>
          <w:color w:val="auto"/>
          <w:sz w:val="36"/>
          <w:szCs w:val="36"/>
        </w:rPr>
      </w:pPr>
    </w:p>
    <w:p>
      <w:pPr>
        <w:rPr>
          <w:rFonts w:hint="eastAsia" w:eastAsia="黑体"/>
          <w:color w:val="auto"/>
          <w:sz w:val="36"/>
          <w:szCs w:val="36"/>
        </w:rPr>
      </w:pPr>
    </w:p>
    <w:p>
      <w:pPr>
        <w:pStyle w:val="2"/>
        <w:rPr>
          <w:rFonts w:hint="eastAsia" w:eastAsia="黑体"/>
          <w:color w:val="auto"/>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4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2021-11-25T09:09:27Z</dcterms:created>
  <dc:creator>Administrator</dc:creator>
  <cp:lastModifiedBy>伊丽莎白三世</cp:lastModifiedBy>
  <dcterms:modified xsi:type="dcterms:W3CDTF">2021-11-25T09:09:32Z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15A0DC2E287E4545AFB7D6F6324BA086</vt:lpwstr>
  </property>
</Properties>
</file>