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rPr>
          <w:rFonts w:hint="eastAsia" w:ascii="华文中宋" w:hAnsi="华文中宋" w:eastAsia="华文中宋"/>
          <w:color w:val="auto"/>
          <w:sz w:val="36"/>
          <w:szCs w:val="36"/>
        </w:rPr>
      </w:pPr>
      <w:bookmarkStart w:id="0" w:name="YS060100"/>
      <w:bookmarkStart w:id="1" w:name="第七部分部门决算分析报告撰写提纲"/>
    </w:p>
    <w:bookmarkEnd w:id="0"/>
    <w:p>
      <w:pPr>
        <w:snapToGrid w:val="0"/>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rPr>
        <w:t>河池市环境卫生管理处</w:t>
      </w:r>
    </w:p>
    <w:p>
      <w:pPr>
        <w:snapToGrid w:val="0"/>
        <w:jc w:val="center"/>
        <w:rPr>
          <w:rFonts w:hint="eastAsia" w:ascii="黑体" w:hAnsi="黑体" w:eastAsia="黑体" w:cs="黑体"/>
          <w:b/>
          <w:bCs/>
          <w:color w:val="auto"/>
          <w:sz w:val="48"/>
          <w:szCs w:val="48"/>
        </w:rPr>
      </w:pPr>
      <w:r>
        <w:rPr>
          <w:rFonts w:hint="eastAsia" w:ascii="黑体" w:hAnsi="黑体" w:eastAsia="黑体" w:cs="黑体"/>
          <w:b/>
          <w:bCs/>
          <w:color w:val="auto"/>
          <w:sz w:val="48"/>
          <w:szCs w:val="48"/>
          <w:lang w:val="en-US" w:eastAsia="zh-CN"/>
        </w:rPr>
        <w:t>2020</w:t>
      </w:r>
      <w:r>
        <w:rPr>
          <w:rFonts w:hint="eastAsia" w:ascii="黑体" w:hAnsi="黑体" w:eastAsia="黑体" w:cs="黑体"/>
          <w:b/>
          <w:bCs/>
          <w:color w:val="auto"/>
          <w:sz w:val="48"/>
          <w:szCs w:val="48"/>
        </w:rPr>
        <w:t>部门决算分析报告</w:t>
      </w:r>
    </w:p>
    <w:p>
      <w:pPr>
        <w:snapToGrid w:val="0"/>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黑体" w:hAnsi="黑体" w:eastAsia="黑体"/>
          <w:color w:val="auto"/>
          <w:sz w:val="32"/>
          <w:szCs w:val="32"/>
        </w:rPr>
      </w:pPr>
      <w:bookmarkStart w:id="2" w:name="YS060101"/>
    </w:p>
    <w:p>
      <w:pPr>
        <w:snapToGrid w:val="0"/>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一、单位情况</w:t>
      </w:r>
    </w:p>
    <w:bookmarkEnd w:id="2"/>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（一）基本情况。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1．主要职能。</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 xml:space="preserve">(1)宣传和贯彻执行国家、自治区、市人民政府有关城市环境卫生管理的方针、政策、法律法规和规范性文件。 </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(2)负责对全市环境卫生管理工作的检查、指导、协调和督办。</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(3)根据城市总体规划，参与编制修订全市中长期环境卫生专项规划。</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(4)负责城区道路等公共场所的清扫保洁、城区的垃圾收集清运工作。</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(5)负责城市垃圾处置场、粪便处置场、垃圾中转站、公共厕所、环卫专用车辆、果皮箱等环卫设施设备的建设(采购)、管理、运营和维护。</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(6)受行政主管部门授权负责城区环境卫生监督管理，建筑垃圾的管理，垃圾处理费的征收，组织开展环境环境卫生综合整治和专项治理工作。</w:t>
      </w:r>
    </w:p>
    <w:p>
      <w:pPr>
        <w:widowControl/>
        <w:snapToGrid w:val="0"/>
        <w:spacing w:line="520" w:lineRule="atLeast"/>
        <w:ind w:firstLine="640" w:firstLineChars="200"/>
        <w:jc w:val="left"/>
        <w:rPr>
          <w:rFonts w:ascii="仿宋_GB2312" w:hAnsi="宋体" w:eastAsia="仿宋_GB2312" w:cs="Tahoma"/>
          <w:color w:val="auto"/>
          <w:sz w:val="32"/>
          <w:szCs w:val="32"/>
        </w:rPr>
      </w:pPr>
      <w:r>
        <w:rPr>
          <w:rFonts w:hint="eastAsia" w:ascii="仿宋_GB2312" w:hAnsi="宋体" w:eastAsia="仿宋_GB2312" w:cs="Tahoma"/>
          <w:color w:val="auto"/>
          <w:sz w:val="32"/>
          <w:szCs w:val="32"/>
        </w:rPr>
        <w:t>(7)承办上级交办的其他事项。</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2．机构情况，包括当年变动情况及原因。</w:t>
      </w:r>
    </w:p>
    <w:p>
      <w:pPr>
        <w:snapToGrid w:val="0"/>
        <w:spacing w:line="520" w:lineRule="exact"/>
        <w:ind w:firstLine="640" w:firstLineChars="200"/>
        <w:rPr>
          <w:rFonts w:hint="eastAsia" w:ascii="仿宋_GB2312" w:hAnsi="宋体" w:eastAsia="仿宋_GB2312" w:cs="Tahoma"/>
          <w:color w:val="auto"/>
          <w:sz w:val="32"/>
          <w:szCs w:val="32"/>
        </w:rPr>
      </w:pPr>
      <w:r>
        <w:rPr>
          <w:rFonts w:hint="eastAsia" w:ascii="仿宋_GB2312" w:hAnsi="宋体" w:eastAsia="仿宋_GB2312" w:cs="Tahoma"/>
          <w:color w:val="auto"/>
          <w:sz w:val="32"/>
          <w:szCs w:val="32"/>
          <w:lang w:val="en-US" w:eastAsia="zh-CN"/>
        </w:rPr>
        <w:t>2020</w:t>
      </w:r>
      <w:r>
        <w:rPr>
          <w:rFonts w:hint="eastAsia" w:ascii="仿宋_GB2312" w:hAnsi="宋体" w:eastAsia="仿宋_GB2312" w:cs="Tahoma"/>
          <w:color w:val="auto"/>
          <w:sz w:val="32"/>
          <w:szCs w:val="32"/>
        </w:rPr>
        <w:t>年河池市环境卫生管理处机构数1个，机构数无变化，单户表。事业编制人数68人，实有在职人数</w:t>
      </w:r>
      <w:r>
        <w:rPr>
          <w:rFonts w:hint="eastAsia" w:ascii="仿宋_GB2312" w:hAnsi="宋体" w:eastAsia="仿宋_GB2312" w:cs="Tahoma"/>
          <w:color w:val="auto"/>
          <w:sz w:val="32"/>
          <w:szCs w:val="32"/>
          <w:lang w:val="en-US" w:eastAsia="zh-CN"/>
        </w:rPr>
        <w:t>52</w:t>
      </w:r>
      <w:r>
        <w:rPr>
          <w:rFonts w:hint="eastAsia" w:ascii="仿宋_GB2312" w:hAnsi="宋体" w:eastAsia="仿宋_GB2312" w:cs="Tahoma"/>
          <w:color w:val="auto"/>
          <w:sz w:val="32"/>
          <w:szCs w:val="32"/>
        </w:rPr>
        <w:t>人，退休人数7</w:t>
      </w:r>
      <w:r>
        <w:rPr>
          <w:rFonts w:hint="eastAsia" w:ascii="仿宋_GB2312" w:hAnsi="宋体" w:eastAsia="仿宋_GB2312" w:cs="Tahoma"/>
          <w:color w:val="auto"/>
          <w:sz w:val="32"/>
          <w:szCs w:val="32"/>
          <w:lang w:val="en-US" w:eastAsia="zh-CN"/>
        </w:rPr>
        <w:t>7</w:t>
      </w:r>
      <w:r>
        <w:rPr>
          <w:rFonts w:hint="eastAsia" w:ascii="仿宋_GB2312" w:hAnsi="宋体" w:eastAsia="仿宋_GB2312" w:cs="Tahoma"/>
          <w:color w:val="auto"/>
          <w:sz w:val="32"/>
          <w:szCs w:val="32"/>
        </w:rPr>
        <w:t>人,临聘人员</w:t>
      </w:r>
      <w:r>
        <w:rPr>
          <w:rFonts w:hint="eastAsia" w:ascii="仿宋_GB2312" w:hAnsi="宋体" w:eastAsia="仿宋_GB2312" w:cs="Tahoma"/>
          <w:color w:val="auto"/>
          <w:sz w:val="32"/>
          <w:szCs w:val="32"/>
          <w:lang w:val="en-US" w:eastAsia="zh-CN"/>
        </w:rPr>
        <w:t>450</w:t>
      </w:r>
      <w:r>
        <w:rPr>
          <w:rFonts w:hint="eastAsia" w:ascii="仿宋_GB2312" w:hAnsi="宋体" w:eastAsia="仿宋_GB2312" w:cs="Tahoma"/>
          <w:color w:val="auto"/>
          <w:sz w:val="32"/>
          <w:szCs w:val="32"/>
        </w:rPr>
        <w:t>人，遗属人员</w:t>
      </w:r>
      <w:r>
        <w:rPr>
          <w:rFonts w:hint="eastAsia" w:ascii="仿宋_GB2312" w:hAnsi="宋体" w:eastAsia="仿宋_GB2312" w:cs="Tahoma"/>
          <w:color w:val="auto"/>
          <w:sz w:val="32"/>
          <w:szCs w:val="32"/>
          <w:lang w:val="en-US" w:eastAsia="zh-CN"/>
        </w:rPr>
        <w:t>5</w:t>
      </w:r>
      <w:r>
        <w:rPr>
          <w:rFonts w:hint="eastAsia" w:ascii="仿宋_GB2312" w:hAnsi="宋体" w:eastAsia="仿宋_GB2312" w:cs="Tahoma"/>
          <w:color w:val="auto"/>
          <w:sz w:val="32"/>
          <w:szCs w:val="32"/>
        </w:rPr>
        <w:t>人。</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3．人员情况，包括当年变动情况及原因。</w:t>
      </w:r>
    </w:p>
    <w:p>
      <w:pPr>
        <w:widowControl/>
        <w:snapToGrid w:val="0"/>
        <w:spacing w:line="520" w:lineRule="atLeast"/>
        <w:ind w:firstLine="640" w:firstLineChars="200"/>
        <w:jc w:val="left"/>
        <w:rPr>
          <w:rFonts w:hint="default" w:ascii="Tahoma" w:hAnsi="Tahoma" w:eastAsia="仿宋_GB2312" w:cs="Tahoma"/>
          <w:color w:val="auto"/>
          <w:kern w:val="0"/>
          <w:sz w:val="20"/>
          <w:szCs w:val="20"/>
          <w:lang w:val="en-US" w:eastAsia="zh-CN"/>
        </w:rPr>
      </w:pPr>
      <w:r>
        <w:rPr>
          <w:rFonts w:hint="eastAsia" w:ascii="仿宋_GB2312" w:hAnsi="宋体" w:eastAsia="仿宋_GB2312" w:cs="Tahoma"/>
          <w:color w:val="auto"/>
          <w:sz w:val="32"/>
          <w:szCs w:val="32"/>
        </w:rPr>
        <w:t>事业编制人数68人，与上年相同；</w:t>
      </w:r>
      <w:r>
        <w:rPr>
          <w:rFonts w:hint="eastAsia" w:ascii="仿宋_GB2312" w:hAnsi="宋体" w:eastAsia="仿宋_GB2312" w:cs="宋体"/>
          <w:color w:val="auto"/>
          <w:sz w:val="32"/>
          <w:szCs w:val="32"/>
        </w:rPr>
        <w:t>年末实有在职在编人数</w:t>
      </w:r>
      <w:r>
        <w:rPr>
          <w:rFonts w:hint="eastAsia" w:ascii="仿宋_GB2312" w:hAnsi="宋体" w:eastAsia="仿宋_GB2312" w:cs="宋体"/>
          <w:color w:val="auto"/>
          <w:sz w:val="32"/>
          <w:szCs w:val="32"/>
          <w:lang w:val="en-US" w:eastAsia="zh-CN"/>
        </w:rPr>
        <w:t>52</w:t>
      </w:r>
      <w:r>
        <w:rPr>
          <w:rFonts w:hint="eastAsia" w:ascii="仿宋_GB2312" w:hAnsi="宋体" w:eastAsia="仿宋_GB2312" w:cs="宋体"/>
          <w:color w:val="auto"/>
          <w:sz w:val="32"/>
          <w:szCs w:val="32"/>
        </w:rPr>
        <w:t>人，退休</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人，年末与上年同比减少</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人，同比减少</w:t>
      </w:r>
      <w:r>
        <w:rPr>
          <w:rFonts w:hint="eastAsia" w:ascii="仿宋_GB2312" w:hAnsi="宋体" w:eastAsia="仿宋_GB2312" w:cs="宋体"/>
          <w:color w:val="auto"/>
          <w:sz w:val="32"/>
          <w:szCs w:val="32"/>
          <w:lang w:val="en-US" w:eastAsia="zh-CN"/>
        </w:rPr>
        <w:t>1.89</w:t>
      </w:r>
      <w:r>
        <w:rPr>
          <w:rFonts w:hint="eastAsia" w:ascii="仿宋_GB2312" w:hAnsi="宋体" w:eastAsia="仿宋_GB2312" w:cs="宋体"/>
          <w:color w:val="auto"/>
          <w:sz w:val="32"/>
          <w:szCs w:val="32"/>
        </w:rPr>
        <w:t>%；年末退休人数7</w:t>
      </w:r>
      <w:r>
        <w:rPr>
          <w:rFonts w:hint="eastAsia" w:ascii="仿宋_GB2312" w:hAnsi="宋体" w:eastAsia="仿宋_GB2312" w:cs="宋体"/>
          <w:color w:val="auto"/>
          <w:sz w:val="32"/>
          <w:szCs w:val="32"/>
          <w:lang w:val="en-US" w:eastAsia="zh-CN"/>
        </w:rPr>
        <w:t>7</w:t>
      </w:r>
      <w:r>
        <w:rPr>
          <w:rFonts w:hint="eastAsia" w:ascii="仿宋_GB2312" w:hAnsi="宋体" w:eastAsia="仿宋_GB2312" w:cs="宋体"/>
          <w:color w:val="auto"/>
          <w:sz w:val="32"/>
          <w:szCs w:val="32"/>
        </w:rPr>
        <w:t>人，当年退休</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人，死亡</w:t>
      </w: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rPr>
        <w:t>人，年末退休人数与上年同比减少</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人</w:t>
      </w:r>
      <w:r>
        <w:rPr>
          <w:rFonts w:hint="eastAsia" w:ascii="仿宋_GB2312" w:hAnsi="宋体" w:eastAsia="仿宋_GB2312" w:cs="宋体"/>
          <w:color w:val="auto"/>
          <w:sz w:val="32"/>
          <w:szCs w:val="32"/>
          <w:lang w:eastAsia="zh-CN"/>
        </w:rPr>
        <w:t>，同比减少</w:t>
      </w:r>
      <w:r>
        <w:rPr>
          <w:rFonts w:hint="eastAsia" w:ascii="仿宋_GB2312" w:hAnsi="宋体" w:eastAsia="仿宋_GB2312" w:cs="宋体"/>
          <w:color w:val="auto"/>
          <w:sz w:val="32"/>
          <w:szCs w:val="32"/>
          <w:lang w:val="en-US" w:eastAsia="zh-CN"/>
        </w:rPr>
        <w:t>1.28%</w:t>
      </w:r>
      <w:r>
        <w:rPr>
          <w:rFonts w:hint="eastAsia" w:ascii="仿宋_GB2312" w:hAnsi="宋体" w:eastAsia="仿宋_GB2312" w:cs="宋体"/>
          <w:color w:val="auto"/>
          <w:sz w:val="32"/>
          <w:szCs w:val="32"/>
          <w:lang w:eastAsia="zh-CN"/>
        </w:rPr>
        <w:t>；年末临聘人员</w:t>
      </w:r>
      <w:r>
        <w:rPr>
          <w:rFonts w:hint="eastAsia" w:ascii="仿宋_GB2312" w:hAnsi="宋体" w:eastAsia="仿宋_GB2312" w:cs="宋体"/>
          <w:color w:val="auto"/>
          <w:sz w:val="32"/>
          <w:szCs w:val="32"/>
          <w:lang w:val="en-US" w:eastAsia="zh-CN"/>
        </w:rPr>
        <w:t>450人，与上年同比增加9人，同比增加2.04%；年末遗属人员5人，与上年同比增加2人，同比增加66.67%。</w:t>
      </w:r>
    </w:p>
    <w:p>
      <w:pPr>
        <w:snapToGrid w:val="0"/>
        <w:spacing w:line="520" w:lineRule="exact"/>
        <w:rPr>
          <w:rFonts w:hint="eastAsia" w:ascii="楷体_GB2312" w:hAnsi="仿宋" w:eastAsia="楷体_GB2312"/>
          <w:b/>
          <w:color w:val="auto"/>
          <w:sz w:val="32"/>
          <w:szCs w:val="32"/>
        </w:rPr>
      </w:pPr>
    </w:p>
    <w:p>
      <w:pPr>
        <w:snapToGrid w:val="0"/>
        <w:spacing w:line="520" w:lineRule="exact"/>
        <w:ind w:firstLine="723" w:firstLineChars="200"/>
        <w:rPr>
          <w:rFonts w:hint="eastAsia" w:ascii="楷体_GB2312" w:hAnsi="仿宋" w:eastAsia="楷体_GB2312"/>
          <w:b/>
          <w:color w:val="auto"/>
          <w:sz w:val="36"/>
          <w:szCs w:val="36"/>
        </w:rPr>
      </w:pPr>
      <w:r>
        <w:rPr>
          <w:rFonts w:hint="eastAsia" w:ascii="楷体_GB2312" w:hAnsi="仿宋" w:eastAsia="楷体_GB2312"/>
          <w:b/>
          <w:color w:val="auto"/>
          <w:sz w:val="36"/>
          <w:szCs w:val="36"/>
        </w:rPr>
        <w:t>（二）当年取得的主要事业成效。</w:t>
      </w:r>
    </w:p>
    <w:p>
      <w:pPr>
        <w:widowControl/>
        <w:snapToGrid w:val="0"/>
        <w:spacing w:line="520" w:lineRule="atLeast"/>
        <w:ind w:firstLine="640" w:firstLineChars="200"/>
        <w:jc w:val="left"/>
        <w:rPr>
          <w:rFonts w:hint="eastAsia" w:ascii="仿宋_GB2312" w:hAnsi="宋体" w:eastAsia="仿宋_GB2312" w:cs="Tahoma"/>
          <w:color w:val="auto"/>
          <w:sz w:val="32"/>
          <w:szCs w:val="32"/>
          <w:lang w:eastAsia="zh-CN"/>
        </w:rPr>
      </w:pPr>
      <w:r>
        <w:rPr>
          <w:rFonts w:hint="eastAsia" w:ascii="仿宋_GB2312" w:eastAsia="仿宋_GB2312"/>
          <w:color w:val="auto"/>
          <w:sz w:val="32"/>
          <w:szCs w:val="32"/>
        </w:rPr>
        <w:t>2020年，</w:t>
      </w:r>
      <w:r>
        <w:rPr>
          <w:rFonts w:hint="eastAsia" w:ascii="仿宋_GB2312" w:eastAsia="仿宋_GB2312"/>
          <w:color w:val="auto"/>
          <w:sz w:val="32"/>
          <w:szCs w:val="32"/>
          <w:lang w:eastAsia="zh-CN"/>
        </w:rPr>
        <w:t>是个特殊之年，即</w:t>
      </w:r>
      <w:r>
        <w:rPr>
          <w:rFonts w:hint="eastAsia" w:ascii="仿宋_GB2312" w:eastAsia="仿宋_GB2312"/>
          <w:color w:val="auto"/>
          <w:sz w:val="32"/>
          <w:szCs w:val="32"/>
        </w:rPr>
        <w:t>是我国决战脱贫攻坚、决胜全面小康之年，</w:t>
      </w:r>
      <w:r>
        <w:rPr>
          <w:rFonts w:hint="eastAsia" w:ascii="仿宋_GB2312" w:eastAsia="仿宋_GB2312"/>
          <w:color w:val="auto"/>
          <w:sz w:val="32"/>
          <w:szCs w:val="32"/>
          <w:lang w:eastAsia="zh-CN"/>
        </w:rPr>
        <w:t>也是我国有效防控</w:t>
      </w:r>
      <w:r>
        <w:rPr>
          <w:rFonts w:hint="eastAsia" w:ascii="仿宋_GB2312" w:eastAsia="仿宋_GB2312"/>
          <w:color w:val="auto"/>
          <w:sz w:val="32"/>
          <w:szCs w:val="32"/>
        </w:rPr>
        <w:t>突如期来的新型冠状病毒肺炎疫情</w:t>
      </w:r>
      <w:r>
        <w:rPr>
          <w:rFonts w:hint="eastAsia" w:ascii="仿宋_GB2312" w:eastAsia="仿宋_GB2312"/>
          <w:color w:val="auto"/>
          <w:sz w:val="32"/>
          <w:szCs w:val="32"/>
          <w:lang w:eastAsia="zh-CN"/>
        </w:rPr>
        <w:t>大战之年</w:t>
      </w:r>
      <w:r>
        <w:rPr>
          <w:rFonts w:hint="eastAsia" w:ascii="仿宋_GB2312" w:eastAsia="仿宋_GB2312"/>
          <w:color w:val="auto"/>
          <w:sz w:val="32"/>
          <w:szCs w:val="32"/>
        </w:rPr>
        <w:t>。</w:t>
      </w:r>
      <w:r>
        <w:rPr>
          <w:rFonts w:hint="eastAsia" w:ascii="仿宋_GB2312" w:eastAsia="仿宋_GB2312"/>
          <w:color w:val="auto"/>
          <w:sz w:val="32"/>
          <w:szCs w:val="32"/>
          <w:lang w:eastAsia="zh-CN"/>
        </w:rPr>
        <w:t>今年，在市委、市政府、主管局和市防疫指挥部的正确领导下，我处不“不忘初心，牢记使命”，以创建宜居城市为契机，结合防疫抗疫工作，着力提升城区市容环境卫生水平向纵深推进，全面实施环卫作业精细化，适应新常态，谋求新发展，全力营造清洁卫生健康的城居生活环境</w:t>
      </w:r>
      <w:r>
        <w:rPr>
          <w:rFonts w:hint="eastAsia" w:ascii="仿宋_GB2312" w:hAnsi="宋体" w:eastAsia="仿宋_GB2312" w:cs="Tahoma"/>
          <w:color w:val="auto"/>
          <w:sz w:val="32"/>
          <w:szCs w:val="32"/>
        </w:rPr>
        <w:t>，较好地完成了年度各项工作任务</w:t>
      </w:r>
      <w:r>
        <w:rPr>
          <w:rFonts w:hint="eastAsia" w:ascii="仿宋_GB2312" w:hAnsi="宋体" w:eastAsia="仿宋_GB2312" w:cs="Tahoma"/>
          <w:color w:val="auto"/>
          <w:sz w:val="32"/>
          <w:szCs w:val="32"/>
          <w:lang w:eastAsia="zh-CN"/>
        </w:rPr>
        <w:t>。</w:t>
      </w:r>
    </w:p>
    <w:p>
      <w:pPr>
        <w:pStyle w:val="10"/>
        <w:numPr>
          <w:ilvl w:val="0"/>
          <w:numId w:val="0"/>
        </w:numPr>
        <w:ind w:leftChars="200"/>
        <w:rPr>
          <w:rFonts w:hint="default" w:ascii="仿宋_GB2312" w:eastAsia="仿宋_GB2312"/>
          <w:color w:val="auto"/>
          <w:sz w:val="32"/>
          <w:szCs w:val="32"/>
          <w:lang w:val="en-US" w:eastAsia="zh-CN"/>
        </w:rPr>
      </w:pPr>
      <w:bookmarkStart w:id="3" w:name="YS060102"/>
      <w:r>
        <w:rPr>
          <w:rFonts w:hint="eastAsia" w:ascii="仿宋_GB2312" w:eastAsia="仿宋_GB2312"/>
          <w:color w:val="auto"/>
          <w:sz w:val="32"/>
          <w:szCs w:val="32"/>
          <w:lang w:val="en-US" w:eastAsia="zh-CN"/>
        </w:rPr>
        <w:t>（一）主体业务工作日常主要指标完成情况</w:t>
      </w:r>
    </w:p>
    <w:p>
      <w:pPr>
        <w:snapToGrid w:val="0"/>
        <w:spacing w:line="540" w:lineRule="exact"/>
        <w:ind w:firstLine="640" w:firstLineChars="200"/>
        <w:rPr>
          <w:rFonts w:ascii="仿宋_GB2312" w:hAnsi="宋体" w:eastAsia="仿宋_GB2312" w:cs="Times New Roman"/>
          <w:color w:val="auto"/>
          <w:sz w:val="32"/>
          <w:szCs w:val="32"/>
        </w:rPr>
      </w:pPr>
      <w:r>
        <w:rPr>
          <w:rFonts w:hint="eastAsia" w:ascii="仿宋_GB2312" w:eastAsia="仿宋_GB2312"/>
          <w:color w:val="auto"/>
          <w:sz w:val="32"/>
          <w:szCs w:val="32"/>
        </w:rPr>
        <w:t>清扫保洁面积1</w:t>
      </w:r>
      <w:r>
        <w:rPr>
          <w:rFonts w:hint="eastAsia" w:ascii="仿宋_GB2312" w:eastAsia="仿宋_GB2312"/>
          <w:color w:val="auto"/>
          <w:sz w:val="32"/>
          <w:szCs w:val="32"/>
          <w:lang w:val="en-US" w:eastAsia="zh-CN"/>
        </w:rPr>
        <w:t>85</w:t>
      </w:r>
      <w:r>
        <w:rPr>
          <w:rFonts w:hint="eastAsia" w:ascii="仿宋_GB2312" w:eastAsia="仿宋_GB2312"/>
          <w:color w:val="auto"/>
          <w:sz w:val="32"/>
          <w:szCs w:val="32"/>
        </w:rPr>
        <w:t>万</w:t>
      </w:r>
      <w:r>
        <w:rPr>
          <w:rFonts w:hint="eastAsia" w:ascii="仿宋_GB2312" w:eastAsia="仿宋_GB2312"/>
          <w:color w:val="auto"/>
          <w:sz w:val="32"/>
          <w:szCs w:val="32"/>
          <w:lang w:eastAsia="zh-CN"/>
        </w:rPr>
        <w:t>多</w:t>
      </w:r>
      <w:r>
        <w:rPr>
          <w:rFonts w:hint="eastAsia" w:ascii="仿宋_GB2312" w:eastAsia="仿宋_GB2312"/>
          <w:color w:val="auto"/>
          <w:sz w:val="32"/>
          <w:szCs w:val="32"/>
        </w:rPr>
        <w:t>平方米/日, 新增保洁面积</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.6万</w:t>
      </w:r>
      <w:r>
        <w:rPr>
          <w:rFonts w:hint="eastAsia" w:ascii="宋体" w:hAnsi="宋体" w:eastAsia="宋体" w:cs="宋体"/>
          <w:color w:val="auto"/>
          <w:sz w:val="32"/>
          <w:szCs w:val="32"/>
        </w:rPr>
        <w:t>㎡</w:t>
      </w:r>
      <w:r>
        <w:rPr>
          <w:rFonts w:hint="eastAsia" w:ascii="宋体" w:hAnsi="宋体" w:eastAsia="宋体" w:cs="宋体"/>
          <w:color w:val="auto"/>
          <w:sz w:val="32"/>
          <w:szCs w:val="32"/>
          <w:lang w:eastAsia="zh-CN"/>
        </w:rPr>
        <w:t>，</w:t>
      </w:r>
      <w:r>
        <w:rPr>
          <w:rFonts w:hint="eastAsia" w:ascii="仿宋_GB2312" w:hAnsi="宋体" w:eastAsia="仿宋_GB2312" w:cs="Times New Roman"/>
          <w:color w:val="auto"/>
          <w:sz w:val="32"/>
          <w:szCs w:val="32"/>
        </w:rPr>
        <w:t>市中心城区分为4个片区36个路段开展日常保洁，其中25个主要路段实行4：00-23:00全天候巡回保洁，每个路段每天安排5个班次保洁</w:t>
      </w:r>
      <w:r>
        <w:rPr>
          <w:rFonts w:hint="eastAsia" w:ascii="仿宋_GB2312" w:hAnsi="宋体" w:eastAsia="仿宋_GB2312" w:cs="Times New Roman"/>
          <w:color w:val="auto"/>
          <w:sz w:val="32"/>
          <w:szCs w:val="32"/>
          <w:lang w:eastAsia="zh-CN"/>
        </w:rPr>
        <w:t>、机械清扫</w:t>
      </w:r>
      <w:r>
        <w:rPr>
          <w:rFonts w:hint="eastAsia" w:ascii="仿宋_GB2312" w:hAnsi="宋体" w:eastAsia="仿宋_GB2312" w:cs="Times New Roman"/>
          <w:color w:val="auto"/>
          <w:sz w:val="32"/>
          <w:szCs w:val="32"/>
          <w:lang w:val="en-US" w:eastAsia="zh-CN"/>
        </w:rPr>
        <w:t>6个班次，</w:t>
      </w:r>
      <w:r>
        <w:rPr>
          <w:rFonts w:hint="eastAsia" w:ascii="仿宋_GB2312" w:hAnsi="宋体" w:eastAsia="仿宋_GB2312" w:cs="Times New Roman"/>
          <w:color w:val="auto"/>
          <w:sz w:val="32"/>
          <w:szCs w:val="32"/>
        </w:rPr>
        <w:t>其余11个次要路段每日安排2-3个班次保洁</w:t>
      </w:r>
      <w:r>
        <w:rPr>
          <w:rFonts w:hint="eastAsia" w:ascii="仿宋_GB2312" w:hAnsi="宋体" w:eastAsia="仿宋_GB2312" w:cs="Times New Roman"/>
          <w:color w:val="auto"/>
          <w:sz w:val="32"/>
          <w:szCs w:val="32"/>
          <w:lang w:eastAsia="zh-CN"/>
        </w:rPr>
        <w:t>、机械清扫</w:t>
      </w:r>
      <w:r>
        <w:rPr>
          <w:rFonts w:hint="eastAsia" w:ascii="仿宋_GB2312" w:hAnsi="宋体" w:eastAsia="仿宋_GB2312" w:cs="Times New Roman"/>
          <w:color w:val="auto"/>
          <w:sz w:val="32"/>
          <w:szCs w:val="32"/>
          <w:lang w:val="en-US" w:eastAsia="zh-CN"/>
        </w:rPr>
        <w:t>1-2个班次；</w:t>
      </w:r>
      <w:r>
        <w:rPr>
          <w:rFonts w:hint="eastAsia" w:ascii="仿宋_GB2312" w:hAnsi="Calibri" w:eastAsia="仿宋_GB2312" w:cs="Times New Roman"/>
          <w:color w:val="auto"/>
          <w:sz w:val="32"/>
          <w:szCs w:val="32"/>
        </w:rPr>
        <w:t>扫路车每日作业6个班次，机械清扫作业基本覆盖城区主次干道，东面至城东大道入城口、铜厂转盘，西面至城西大道入城口、六圩大榕树、六甲路口，北面至二桥、中山路黄冈学校。</w:t>
      </w:r>
      <w:r>
        <w:rPr>
          <w:rFonts w:hint="eastAsia" w:ascii="仿宋_GB2312" w:eastAsia="仿宋_GB2312"/>
          <w:color w:val="auto"/>
          <w:sz w:val="32"/>
          <w:szCs w:val="32"/>
        </w:rPr>
        <w:t>实现城市出入口道路机械化清扫工作全覆盖，城区机械化清扫面积达131.65万平方米，机械化清扫率达72.8%</w:t>
      </w:r>
      <w:r>
        <w:rPr>
          <w:rFonts w:hint="eastAsia" w:ascii="仿宋_GB2312" w:eastAsia="仿宋_GB2312"/>
          <w:color w:val="auto"/>
          <w:sz w:val="32"/>
          <w:szCs w:val="32"/>
          <w:lang w:eastAsia="zh-CN"/>
        </w:rPr>
        <w:t>；</w:t>
      </w:r>
      <w:r>
        <w:rPr>
          <w:rFonts w:hint="eastAsia" w:ascii="仿宋_GB2312" w:hAnsi="宋体" w:eastAsia="仿宋_GB2312" w:cs="Times New Roman"/>
          <w:color w:val="auto"/>
          <w:sz w:val="32"/>
          <w:szCs w:val="32"/>
          <w:lang w:val="en-US" w:eastAsia="zh-CN"/>
        </w:rPr>
        <w:t>56</w:t>
      </w:r>
      <w:r>
        <w:rPr>
          <w:rFonts w:hint="eastAsia" w:ascii="仿宋_GB2312" w:hAnsi="宋体" w:eastAsia="仿宋_GB2312" w:cs="Times New Roman"/>
          <w:color w:val="auto"/>
          <w:sz w:val="32"/>
          <w:szCs w:val="32"/>
        </w:rPr>
        <w:t>辆电动三轮车专职清运道路及果皮箱垃圾，提高清运效率，缩短垃圾滞留时间。</w:t>
      </w:r>
      <w:r>
        <w:rPr>
          <w:rFonts w:hint="eastAsia" w:ascii="仿宋_GB2312" w:hAnsi="宋体" w:eastAsia="仿宋_GB2312" w:cs="Times New Roman"/>
          <w:color w:val="auto"/>
          <w:sz w:val="32"/>
          <w:szCs w:val="32"/>
          <w:lang w:eastAsia="zh-CN"/>
        </w:rPr>
        <w:t>为应对日益增加的乱仍现象，年初新增</w:t>
      </w:r>
      <w:r>
        <w:rPr>
          <w:rFonts w:hint="eastAsia" w:ascii="仿宋_GB2312" w:hAnsi="宋体" w:eastAsia="仿宋_GB2312" w:cs="Times New Roman"/>
          <w:color w:val="auto"/>
          <w:sz w:val="32"/>
          <w:szCs w:val="32"/>
          <w:lang w:val="en-US" w:eastAsia="zh-CN"/>
        </w:rPr>
        <w:t>4名共计</w:t>
      </w:r>
      <w:r>
        <w:rPr>
          <w:rFonts w:hint="eastAsia" w:ascii="仿宋_GB2312" w:hAnsi="宋体" w:eastAsia="仿宋_GB2312" w:cs="Times New Roman"/>
          <w:color w:val="auto"/>
          <w:sz w:val="32"/>
          <w:szCs w:val="32"/>
        </w:rPr>
        <w:t>1</w:t>
      </w:r>
      <w:r>
        <w:rPr>
          <w:rFonts w:hint="eastAsia" w:ascii="仿宋_GB2312" w:hAnsi="宋体" w:eastAsia="仿宋_GB2312" w:cs="Times New Roman"/>
          <w:color w:val="auto"/>
          <w:sz w:val="32"/>
          <w:szCs w:val="32"/>
          <w:lang w:val="en-US" w:eastAsia="zh-CN"/>
        </w:rPr>
        <w:t>6</w:t>
      </w:r>
      <w:r>
        <w:rPr>
          <w:rFonts w:hint="eastAsia" w:ascii="仿宋_GB2312" w:hAnsi="宋体" w:eastAsia="仿宋_GB2312" w:cs="Times New Roman"/>
          <w:color w:val="auto"/>
          <w:sz w:val="32"/>
          <w:szCs w:val="32"/>
        </w:rPr>
        <w:t>名快速巡查保洁员每日6:00-23:00轮班巡查，及时清除临时性生活垃圾、废弃防疫口罩、大件垃圾，处理道路泥沙、油污撒漏及群众投诉案件</w:t>
      </w:r>
      <w:r>
        <w:rPr>
          <w:rFonts w:hint="eastAsia" w:ascii="仿宋_GB2312" w:hAnsi="宋体" w:eastAsia="仿宋_GB2312" w:cs="Times New Roman"/>
          <w:color w:val="auto"/>
          <w:sz w:val="32"/>
          <w:szCs w:val="32"/>
          <w:lang w:eastAsia="zh-CN"/>
        </w:rPr>
        <w:t>；</w:t>
      </w:r>
      <w:r>
        <w:rPr>
          <w:rFonts w:hint="eastAsia" w:ascii="仿宋_GB2312" w:eastAsia="仿宋_GB2312" w:hAnsiTheme="minorHAnsi" w:cstheme="minorBidi"/>
          <w:color w:val="auto"/>
          <w:sz w:val="32"/>
          <w:szCs w:val="32"/>
        </w:rPr>
        <w:t>清</w:t>
      </w:r>
      <w:r>
        <w:rPr>
          <w:rFonts w:hint="eastAsia" w:ascii="仿宋_GB2312" w:eastAsia="仿宋_GB2312" w:cstheme="minorBidi"/>
          <w:color w:val="auto"/>
          <w:sz w:val="32"/>
          <w:szCs w:val="32"/>
          <w:lang w:eastAsia="zh-CN"/>
        </w:rPr>
        <w:t>运</w:t>
      </w:r>
      <w:r>
        <w:rPr>
          <w:rFonts w:hint="eastAsia" w:ascii="仿宋_GB2312" w:eastAsia="仿宋_GB2312" w:hAnsiTheme="minorHAnsi" w:cstheme="minorBidi"/>
          <w:color w:val="auto"/>
          <w:sz w:val="32"/>
          <w:szCs w:val="32"/>
        </w:rPr>
        <w:t>垃圾</w:t>
      </w:r>
      <w:r>
        <w:rPr>
          <w:rFonts w:hint="eastAsia" w:ascii="仿宋_GB2312" w:eastAsia="仿宋_GB2312" w:cstheme="minorBidi"/>
          <w:color w:val="auto"/>
          <w:sz w:val="32"/>
          <w:szCs w:val="32"/>
          <w:lang w:val="en-US" w:eastAsia="zh-CN"/>
        </w:rPr>
        <w:t>9000</w:t>
      </w:r>
      <w:r>
        <w:rPr>
          <w:rFonts w:hint="eastAsia" w:ascii="仿宋_GB2312" w:eastAsia="仿宋_GB2312" w:hAnsiTheme="minorHAnsi" w:cstheme="minorBidi"/>
          <w:color w:val="auto"/>
          <w:sz w:val="32"/>
          <w:szCs w:val="32"/>
        </w:rPr>
        <w:t>车</w:t>
      </w:r>
      <w:r>
        <w:rPr>
          <w:rFonts w:hint="eastAsia" w:ascii="仿宋_GB2312" w:eastAsia="仿宋_GB2312" w:cstheme="minorBidi"/>
          <w:color w:val="auto"/>
          <w:sz w:val="32"/>
          <w:szCs w:val="32"/>
          <w:lang w:eastAsia="zh-CN"/>
        </w:rPr>
        <w:t>左右</w:t>
      </w:r>
      <w:r>
        <w:rPr>
          <w:rFonts w:hint="eastAsia" w:ascii="仿宋_GB2312" w:eastAsia="仿宋_GB2312" w:hAnsiTheme="minorHAnsi" w:cstheme="minorBidi"/>
          <w:color w:val="auto"/>
          <w:sz w:val="32"/>
          <w:szCs w:val="32"/>
        </w:rPr>
        <w:t>，</w:t>
      </w:r>
      <w:r>
        <w:rPr>
          <w:rFonts w:hint="eastAsia" w:ascii="仿宋_GB2312" w:eastAsia="仿宋_GB2312" w:cstheme="minorBidi"/>
          <w:color w:val="auto"/>
          <w:sz w:val="32"/>
          <w:szCs w:val="32"/>
          <w:lang w:eastAsia="zh-CN"/>
        </w:rPr>
        <w:t>约</w:t>
      </w:r>
      <w:r>
        <w:rPr>
          <w:rFonts w:hint="eastAsia" w:ascii="仿宋_GB2312" w:eastAsia="仿宋_GB2312" w:hAnsiTheme="minorHAnsi" w:cstheme="minorBidi"/>
          <w:color w:val="auto"/>
          <w:sz w:val="32"/>
          <w:szCs w:val="32"/>
        </w:rPr>
        <w:t>合</w:t>
      </w:r>
      <w:r>
        <w:rPr>
          <w:rFonts w:hint="eastAsia" w:ascii="仿宋_GB2312" w:eastAsia="仿宋_GB2312" w:cstheme="minorBidi"/>
          <w:color w:val="auto"/>
          <w:sz w:val="32"/>
          <w:szCs w:val="32"/>
          <w:lang w:val="en-US" w:eastAsia="zh-CN"/>
        </w:rPr>
        <w:t>6900</w:t>
      </w:r>
      <w:r>
        <w:rPr>
          <w:rFonts w:hint="eastAsia" w:ascii="仿宋_GB2312" w:eastAsia="仿宋_GB2312" w:hAnsiTheme="minorHAnsi" w:cstheme="minorBidi"/>
          <w:color w:val="auto"/>
          <w:sz w:val="32"/>
          <w:szCs w:val="32"/>
        </w:rPr>
        <w:t>吨</w:t>
      </w:r>
      <w:r>
        <w:rPr>
          <w:rFonts w:hint="eastAsia" w:ascii="仿宋_GB2312" w:eastAsia="仿宋_GB2312" w:cstheme="minorBidi"/>
          <w:color w:val="auto"/>
          <w:sz w:val="32"/>
          <w:szCs w:val="32"/>
          <w:lang w:eastAsia="zh-CN"/>
        </w:rPr>
        <w:t>；</w:t>
      </w:r>
      <w:r>
        <w:rPr>
          <w:rFonts w:hint="eastAsia" w:ascii="仿宋_GB2312" w:eastAsia="仿宋_GB2312"/>
          <w:color w:val="auto"/>
          <w:sz w:val="32"/>
          <w:szCs w:val="32"/>
        </w:rPr>
        <w:t>道路人工冲洗每日作业2个班次</w:t>
      </w:r>
      <w:r>
        <w:rPr>
          <w:rFonts w:hint="eastAsia" w:ascii="仿宋_GB2312" w:eastAsia="仿宋_GB2312"/>
          <w:bCs/>
          <w:snapToGrid w:val="0"/>
          <w:color w:val="auto"/>
          <w:kern w:val="0"/>
          <w:sz w:val="32"/>
          <w:szCs w:val="32"/>
          <w:lang w:eastAsia="zh-CN"/>
        </w:rPr>
        <w:t>；</w:t>
      </w:r>
      <w:r>
        <w:rPr>
          <w:rFonts w:hint="eastAsia" w:ascii="仿宋_GB2312" w:eastAsia="仿宋_GB2312"/>
          <w:bCs/>
          <w:snapToGrid w:val="0"/>
          <w:color w:val="auto"/>
          <w:kern w:val="0"/>
          <w:sz w:val="32"/>
          <w:szCs w:val="32"/>
        </w:rPr>
        <w:t>道路洒水</w:t>
      </w:r>
      <w:r>
        <w:rPr>
          <w:rFonts w:hint="eastAsia" w:ascii="仿宋_GB2312" w:eastAsia="仿宋_GB2312"/>
          <w:snapToGrid w:val="0"/>
          <w:color w:val="auto"/>
          <w:kern w:val="0"/>
          <w:sz w:val="32"/>
          <w:szCs w:val="32"/>
        </w:rPr>
        <w:t>每日7个班次，</w:t>
      </w:r>
      <w:r>
        <w:rPr>
          <w:rFonts w:hint="eastAsia" w:ascii="仿宋_GB2312" w:eastAsia="仿宋_GB2312"/>
          <w:bCs/>
          <w:snapToGrid w:val="0"/>
          <w:color w:val="auto"/>
          <w:kern w:val="0"/>
          <w:sz w:val="32"/>
          <w:szCs w:val="32"/>
        </w:rPr>
        <w:t>城区</w:t>
      </w:r>
      <w:r>
        <w:rPr>
          <w:rFonts w:hint="eastAsia" w:ascii="仿宋_GB2312" w:eastAsia="仿宋_GB2312"/>
          <w:snapToGrid w:val="0"/>
          <w:color w:val="auto"/>
          <w:kern w:val="0"/>
          <w:sz w:val="32"/>
          <w:szCs w:val="32"/>
        </w:rPr>
        <w:t>中心道路洒水1日7次</w:t>
      </w:r>
      <w:r>
        <w:rPr>
          <w:rFonts w:hint="eastAsia" w:ascii="仿宋_GB2312" w:eastAsia="仿宋_GB2312"/>
          <w:snapToGrid w:val="0"/>
          <w:color w:val="auto"/>
          <w:kern w:val="0"/>
          <w:sz w:val="32"/>
          <w:szCs w:val="32"/>
          <w:lang w:eastAsia="zh-CN"/>
        </w:rPr>
        <w:t>；</w:t>
      </w:r>
      <w:r>
        <w:rPr>
          <w:rFonts w:hint="eastAsia" w:ascii="仿宋_GB2312" w:eastAsia="仿宋_GB2312"/>
          <w:bCs/>
          <w:snapToGrid w:val="0"/>
          <w:color w:val="auto"/>
          <w:kern w:val="0"/>
          <w:sz w:val="32"/>
          <w:szCs w:val="32"/>
        </w:rPr>
        <w:t>维护管理生产机动车</w:t>
      </w:r>
      <w:r>
        <w:rPr>
          <w:rFonts w:hint="eastAsia" w:ascii="仿宋_GB2312" w:eastAsia="仿宋_GB2312"/>
          <w:bCs/>
          <w:snapToGrid w:val="0"/>
          <w:color w:val="auto"/>
          <w:kern w:val="0"/>
          <w:sz w:val="32"/>
          <w:szCs w:val="32"/>
          <w:lang w:val="en-US" w:eastAsia="zh-CN"/>
        </w:rPr>
        <w:t>39</w:t>
      </w:r>
      <w:r>
        <w:rPr>
          <w:rFonts w:hint="eastAsia" w:ascii="仿宋_GB2312" w:eastAsia="仿宋_GB2312"/>
          <w:bCs/>
          <w:snapToGrid w:val="0"/>
          <w:color w:val="auto"/>
          <w:kern w:val="0"/>
          <w:sz w:val="32"/>
          <w:szCs w:val="32"/>
        </w:rPr>
        <w:t>辆</w:t>
      </w:r>
      <w:r>
        <w:rPr>
          <w:rFonts w:hint="eastAsia" w:ascii="仿宋_GB2312" w:eastAsia="仿宋_GB2312"/>
          <w:bCs/>
          <w:snapToGrid w:val="0"/>
          <w:color w:val="auto"/>
          <w:kern w:val="0"/>
          <w:sz w:val="32"/>
          <w:szCs w:val="32"/>
          <w:lang w:eastAsia="zh-CN"/>
        </w:rPr>
        <w:t>；维护城区广场、主、次干道果皮箱</w:t>
      </w:r>
      <w:r>
        <w:rPr>
          <w:rFonts w:hint="eastAsia" w:ascii="仿宋_GB2312" w:eastAsia="仿宋_GB2312"/>
          <w:bCs/>
          <w:snapToGrid w:val="0"/>
          <w:color w:val="auto"/>
          <w:kern w:val="0"/>
          <w:sz w:val="32"/>
          <w:szCs w:val="32"/>
          <w:lang w:val="en-US" w:eastAsia="zh-CN"/>
        </w:rPr>
        <w:t>1350个，其中新增安装果皮箱350个，更换510个；</w:t>
      </w:r>
      <w:r>
        <w:rPr>
          <w:rFonts w:hint="eastAsia" w:ascii="仿宋_GB2312" w:eastAsia="仿宋_GB2312"/>
          <w:bCs/>
          <w:snapToGrid w:val="0"/>
          <w:color w:val="auto"/>
          <w:kern w:val="0"/>
          <w:sz w:val="32"/>
          <w:szCs w:val="32"/>
        </w:rPr>
        <w:t>管理</w:t>
      </w:r>
      <w:r>
        <w:rPr>
          <w:rFonts w:hint="eastAsia" w:ascii="仿宋_GB2312" w:eastAsia="仿宋_GB2312"/>
          <w:bCs/>
          <w:snapToGrid w:val="0"/>
          <w:color w:val="auto"/>
          <w:kern w:val="0"/>
          <w:sz w:val="32"/>
          <w:szCs w:val="32"/>
          <w:lang w:eastAsia="zh-CN"/>
        </w:rPr>
        <w:t>市政</w:t>
      </w:r>
      <w:r>
        <w:rPr>
          <w:rFonts w:hint="eastAsia" w:ascii="仿宋_GB2312" w:eastAsia="仿宋_GB2312"/>
          <w:bCs/>
          <w:snapToGrid w:val="0"/>
          <w:color w:val="auto"/>
          <w:kern w:val="0"/>
          <w:sz w:val="32"/>
          <w:szCs w:val="32"/>
        </w:rPr>
        <w:t>公厕</w:t>
      </w:r>
      <w:r>
        <w:rPr>
          <w:rFonts w:hint="eastAsia" w:ascii="仿宋_GB2312" w:eastAsia="仿宋_GB2312"/>
          <w:color w:val="auto"/>
          <w:sz w:val="32"/>
          <w:szCs w:val="32"/>
        </w:rPr>
        <w:t>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座（含移动公厕）</w:t>
      </w:r>
      <w:r>
        <w:rPr>
          <w:rFonts w:hint="eastAsia" w:ascii="仿宋_GB2312" w:eastAsia="仿宋_GB2312"/>
          <w:color w:val="auto"/>
          <w:sz w:val="32"/>
          <w:szCs w:val="32"/>
          <w:lang w:eastAsia="zh-CN"/>
        </w:rPr>
        <w:t>；共对七百九十多个住宿小区合计</w:t>
      </w:r>
      <w:r>
        <w:rPr>
          <w:rFonts w:hint="eastAsia" w:ascii="仿宋_GB2312" w:eastAsia="仿宋_GB2312"/>
          <w:color w:val="auto"/>
          <w:sz w:val="32"/>
          <w:szCs w:val="32"/>
          <w:lang w:val="en-US" w:eastAsia="zh-CN"/>
        </w:rPr>
        <w:t>6万</w:t>
      </w:r>
      <w:r>
        <w:rPr>
          <w:rFonts w:hint="eastAsia" w:ascii="仿宋_GB2312" w:eastAsia="仿宋_GB2312"/>
          <w:color w:val="auto"/>
          <w:sz w:val="32"/>
          <w:szCs w:val="32"/>
          <w:lang w:eastAsia="zh-CN"/>
        </w:rPr>
        <w:t>户开展</w:t>
      </w:r>
      <w:r>
        <w:rPr>
          <w:rFonts w:hint="eastAsia" w:ascii="仿宋_GB2312" w:eastAsia="仿宋_GB2312"/>
          <w:color w:val="auto"/>
          <w:sz w:val="32"/>
          <w:szCs w:val="32"/>
        </w:rPr>
        <w:t>上门收集垃圾服务</w:t>
      </w:r>
      <w:r>
        <w:rPr>
          <w:rFonts w:hint="eastAsia" w:ascii="仿宋_GB2312" w:eastAsia="仿宋_GB2312"/>
          <w:color w:val="auto"/>
          <w:sz w:val="32"/>
          <w:szCs w:val="32"/>
          <w:lang w:eastAsia="zh-CN"/>
        </w:rPr>
        <w:t>；共收取</w:t>
      </w:r>
      <w:r>
        <w:rPr>
          <w:rFonts w:ascii="仿宋_GB2312" w:hAnsi="宋体" w:eastAsia="仿宋_GB2312" w:cs="Times New Roman"/>
          <w:color w:val="auto"/>
          <w:sz w:val="32"/>
          <w:szCs w:val="32"/>
        </w:rPr>
        <w:t>生活垃圾处理费</w:t>
      </w:r>
      <w:r>
        <w:rPr>
          <w:rFonts w:hint="eastAsia" w:ascii="仿宋_GB2312" w:hAnsi="宋体" w:eastAsia="仿宋_GB2312" w:cs="Times New Roman"/>
          <w:color w:val="auto"/>
          <w:sz w:val="32"/>
          <w:szCs w:val="32"/>
          <w:lang w:val="en-US" w:eastAsia="zh-CN"/>
        </w:rPr>
        <w:t>443</w:t>
      </w:r>
      <w:r>
        <w:rPr>
          <w:rFonts w:ascii="仿宋_GB2312" w:hAnsi="宋体" w:eastAsia="仿宋_GB2312" w:cs="Times New Roman"/>
          <w:color w:val="auto"/>
          <w:sz w:val="32"/>
          <w:szCs w:val="32"/>
        </w:rPr>
        <w:t>万元，建筑垃圾处</w:t>
      </w:r>
      <w:r>
        <w:rPr>
          <w:rFonts w:hint="eastAsia" w:ascii="仿宋_GB2312" w:hAnsi="宋体" w:eastAsia="仿宋_GB2312" w:cs="Times New Roman"/>
          <w:color w:val="auto"/>
          <w:sz w:val="32"/>
          <w:szCs w:val="32"/>
          <w:lang w:eastAsia="zh-CN"/>
        </w:rPr>
        <w:t>置</w:t>
      </w:r>
      <w:r>
        <w:rPr>
          <w:rFonts w:ascii="仿宋_GB2312" w:hAnsi="宋体" w:eastAsia="仿宋_GB2312" w:cs="Times New Roman"/>
          <w:color w:val="auto"/>
          <w:sz w:val="32"/>
          <w:szCs w:val="32"/>
        </w:rPr>
        <w:t>费</w:t>
      </w:r>
      <w:r>
        <w:rPr>
          <w:rFonts w:hint="eastAsia" w:ascii="仿宋_GB2312" w:hAnsi="宋体" w:eastAsia="仿宋_GB2312" w:cs="Times New Roman"/>
          <w:color w:val="auto"/>
          <w:sz w:val="32"/>
          <w:szCs w:val="32"/>
          <w:lang w:val="en-US" w:eastAsia="zh-CN"/>
        </w:rPr>
        <w:t>58.5</w:t>
      </w:r>
      <w:r>
        <w:rPr>
          <w:rFonts w:ascii="仿宋_GB2312" w:hAnsi="宋体" w:eastAsia="仿宋_GB2312" w:cs="Times New Roman"/>
          <w:color w:val="auto"/>
          <w:sz w:val="32"/>
          <w:szCs w:val="32"/>
        </w:rPr>
        <w:t>万元。</w:t>
      </w:r>
    </w:p>
    <w:p>
      <w:pPr>
        <w:numPr>
          <w:ilvl w:val="0"/>
          <w:numId w:val="1"/>
        </w:numPr>
        <w:snapToGrid w:val="0"/>
        <w:spacing w:line="500" w:lineRule="exact"/>
        <w:ind w:firstLine="643" w:firstLineChars="200"/>
        <w:rPr>
          <w:rFonts w:hint="eastAsia" w:ascii="仿宋_GB2312" w:hAnsi="宋体" w:eastAsia="仿宋_GB2312" w:cs="Times New Roman"/>
          <w:b/>
          <w:bCs/>
          <w:color w:val="auto"/>
          <w:sz w:val="32"/>
          <w:szCs w:val="32"/>
          <w:lang w:eastAsia="zh-CN"/>
        </w:rPr>
      </w:pPr>
      <w:r>
        <w:rPr>
          <w:rFonts w:hint="eastAsia" w:ascii="仿宋_GB2312" w:hAnsi="宋体" w:eastAsia="仿宋_GB2312" w:cs="Times New Roman"/>
          <w:b/>
          <w:bCs/>
          <w:color w:val="auto"/>
          <w:sz w:val="32"/>
          <w:szCs w:val="32"/>
          <w:lang w:eastAsia="zh-CN"/>
        </w:rPr>
        <w:t>主要工作措施及成效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bCs/>
          <w:color w:val="auto"/>
          <w:sz w:val="32"/>
          <w:szCs w:val="32"/>
        </w:rPr>
      </w:pPr>
      <w:r>
        <w:rPr>
          <w:rFonts w:hint="eastAsia" w:ascii="仿宋_GB2312" w:eastAsia="仿宋_GB2312"/>
          <w:color w:val="auto"/>
          <w:sz w:val="32"/>
          <w:szCs w:val="32"/>
          <w:lang w:val="en-US" w:eastAsia="zh-CN"/>
        </w:rPr>
        <w:t>1、</w:t>
      </w:r>
      <w:r>
        <w:rPr>
          <w:rFonts w:hint="eastAsia" w:ascii="仿宋_GB2312" w:eastAsia="仿宋_GB2312"/>
          <w:b/>
          <w:bCs/>
          <w:color w:val="auto"/>
          <w:sz w:val="32"/>
          <w:szCs w:val="32"/>
        </w:rPr>
        <w:t>接管金城江铁路地区垃圾清运工作。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根据《国务院国资委、民政部、财政部、住房城乡建设部关于国有企业办市政、社区管理等职能分离移交的指导意见》(国资发改革</w:t>
      </w:r>
      <w:r>
        <w:rPr>
          <w:rFonts w:hint="eastAsia" w:ascii="仿宋_GB2312" w:hAnsi="宋体" w:eastAsia="仿宋_GB2312"/>
          <w:color w:val="auto"/>
          <w:sz w:val="32"/>
          <w:szCs w:val="32"/>
        </w:rPr>
        <w:t>〔</w:t>
      </w:r>
      <w:r>
        <w:rPr>
          <w:rFonts w:hint="eastAsia" w:ascii="仿宋_GB2312" w:eastAsia="仿宋_GB2312"/>
          <w:color w:val="auto"/>
          <w:sz w:val="32"/>
          <w:szCs w:val="32"/>
        </w:rPr>
        <w:t>2017</w:t>
      </w:r>
      <w:r>
        <w:rPr>
          <w:rFonts w:hint="eastAsia" w:ascii="仿宋_GB2312" w:hAnsi="宋体" w:eastAsia="仿宋_GB2312"/>
          <w:color w:val="auto"/>
          <w:sz w:val="32"/>
          <w:szCs w:val="32"/>
        </w:rPr>
        <w:t>〕</w:t>
      </w:r>
      <w:r>
        <w:rPr>
          <w:rFonts w:hint="eastAsia" w:ascii="仿宋_GB2312" w:eastAsia="仿宋_GB2312"/>
          <w:color w:val="auto"/>
          <w:sz w:val="32"/>
          <w:szCs w:val="32"/>
        </w:rPr>
        <w:t>85号)和《河池市人民政府关于对移交金城江铁路地区环卫职能的复函》（河政函</w:t>
      </w:r>
      <w:r>
        <w:rPr>
          <w:rFonts w:hint="eastAsia" w:ascii="仿宋_GB2312" w:hAnsi="宋体" w:eastAsia="仿宋_GB2312"/>
          <w:color w:val="auto"/>
          <w:sz w:val="32"/>
          <w:szCs w:val="32"/>
        </w:rPr>
        <w:t>〔</w:t>
      </w:r>
      <w:r>
        <w:rPr>
          <w:rFonts w:hint="eastAsia" w:ascii="仿宋_GB2312" w:eastAsia="仿宋_GB2312"/>
          <w:color w:val="auto"/>
          <w:sz w:val="32"/>
          <w:szCs w:val="32"/>
        </w:rPr>
        <w:t>2018</w:t>
      </w:r>
      <w:r>
        <w:rPr>
          <w:rFonts w:hint="eastAsia" w:ascii="仿宋_GB2312" w:hAnsi="宋体" w:eastAsia="仿宋_GB2312"/>
          <w:color w:val="auto"/>
          <w:sz w:val="32"/>
          <w:szCs w:val="32"/>
        </w:rPr>
        <w:t>〕</w:t>
      </w:r>
      <w:r>
        <w:rPr>
          <w:rFonts w:hint="eastAsia" w:ascii="仿宋_GB2312" w:eastAsia="仿宋_GB2312"/>
          <w:color w:val="auto"/>
          <w:sz w:val="32"/>
          <w:szCs w:val="32"/>
        </w:rPr>
        <w:t>306号）文件精神，2020年1月起,我处接管了原金城江铁路环卫队实施的环卫职能，为7个铁路单位（车间）、24家门店、铁路地区10个住宅小区3000多户住户提供垃圾清运服务。根据预算，接管金城江铁路地区环卫工作新增经费约为85.6万元/年，其中生产设备购置经费39.5万元为一次性投入，人员经费、日常生产经费合计46.1万元为每年新增工作经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b/>
          <w:bCs/>
          <w:color w:val="auto"/>
          <w:sz w:val="32"/>
          <w:szCs w:val="32"/>
        </w:rPr>
      </w:pPr>
      <w:r>
        <w:rPr>
          <w:rFonts w:hint="eastAsia" w:ascii="仿宋_GB2312" w:eastAsia="仿宋_GB2312"/>
          <w:color w:val="auto"/>
          <w:sz w:val="32"/>
          <w:szCs w:val="32"/>
          <w:lang w:val="en-US" w:eastAsia="zh-CN"/>
        </w:rPr>
        <w:t>2、</w:t>
      </w:r>
      <w:r>
        <w:rPr>
          <w:rFonts w:hint="eastAsia" w:ascii="仿宋_GB2312" w:hAnsi="黑体" w:eastAsia="仿宋_GB2312"/>
          <w:b/>
          <w:bCs/>
          <w:color w:val="auto"/>
          <w:sz w:val="32"/>
          <w:szCs w:val="32"/>
        </w:rPr>
        <w:t>加强新冠肺炎疫情防控期间环卫工作。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1</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全面清理死角垃圾。</w:t>
      </w:r>
      <w:r>
        <w:rPr>
          <w:rFonts w:hint="eastAsia" w:ascii="仿宋_GB2312" w:hAnsi="黑体" w:eastAsia="仿宋_GB2312"/>
          <w:color w:val="auto"/>
          <w:sz w:val="32"/>
          <w:szCs w:val="32"/>
        </w:rPr>
        <w:t>生活垃圾日产日清，加强死角垃圾的清理力度，保持公共区域环境整洁。其中</w:t>
      </w:r>
      <w:r>
        <w:rPr>
          <w:rFonts w:hint="eastAsia" w:ascii="仿宋_GB2312" w:hAnsi="宋体" w:eastAsia="仿宋_GB2312"/>
          <w:color w:val="auto"/>
          <w:sz w:val="32"/>
          <w:szCs w:val="32"/>
        </w:rPr>
        <w:t>清理城西西城名苑小区前空地堆积的建筑垃圾、生活垃圾共15车约30吨、清理中山路一中坡陈旧建筑垃圾共5车约10吨</w:t>
      </w:r>
      <w:r>
        <w:rPr>
          <w:rFonts w:hint="eastAsia" w:ascii="仿宋_GB2312" w:hAnsi="宋体" w:eastAsia="仿宋_GB2312"/>
          <w:color w:val="auto"/>
          <w:sz w:val="32"/>
          <w:szCs w:val="32"/>
          <w:lang w:eastAsia="zh-CN"/>
        </w:rPr>
        <w:t>；清理吉祥小区、城东国际等</w:t>
      </w:r>
      <w:r>
        <w:rPr>
          <w:rFonts w:hint="eastAsia" w:ascii="仿宋_GB2312" w:hAnsi="宋体" w:eastAsia="仿宋_GB2312"/>
          <w:color w:val="auto"/>
          <w:sz w:val="32"/>
          <w:szCs w:val="32"/>
          <w:lang w:val="en-US" w:eastAsia="zh-CN"/>
        </w:rPr>
        <w:t>12个</w:t>
      </w:r>
      <w:r>
        <w:rPr>
          <w:rFonts w:hint="eastAsia" w:ascii="仿宋_GB2312" w:hAnsi="宋体" w:eastAsia="仿宋_GB2312"/>
          <w:color w:val="auto"/>
          <w:sz w:val="32"/>
          <w:szCs w:val="32"/>
          <w:lang w:eastAsia="zh-CN"/>
        </w:rPr>
        <w:t>小区、单位的死角垃圾共</w:t>
      </w:r>
      <w:r>
        <w:rPr>
          <w:rFonts w:hint="eastAsia" w:ascii="仿宋_GB2312" w:hAnsi="宋体" w:eastAsia="仿宋_GB2312"/>
          <w:color w:val="auto"/>
          <w:sz w:val="32"/>
          <w:szCs w:val="32"/>
          <w:lang w:val="en-US" w:eastAsia="zh-CN"/>
        </w:rPr>
        <w:t>35车</w:t>
      </w:r>
      <w:r>
        <w:rPr>
          <w:rFonts w:hint="eastAsia" w:ascii="仿宋_GB2312" w:hAnsi="宋体" w:eastAsia="仿宋_GB2312"/>
          <w:color w:val="auto"/>
          <w:sz w:val="32"/>
          <w:szCs w:val="32"/>
          <w:lang w:eastAsia="zh-CN"/>
        </w:rPr>
        <w:t>勾臂车</w:t>
      </w:r>
      <w:r>
        <w:rPr>
          <w:rFonts w:hint="eastAsia" w:ascii="仿宋_GB2312" w:hAnsi="宋体" w:eastAsia="仿宋_GB2312"/>
          <w:color w:val="auto"/>
          <w:sz w:val="32"/>
          <w:szCs w:val="32"/>
          <w:lang w:val="en-US" w:eastAsia="zh-CN"/>
        </w:rPr>
        <w:t>、3T小压7车、5T大压2车共约61吨；</w:t>
      </w:r>
      <w:r>
        <w:rPr>
          <w:rFonts w:hint="eastAsia" w:ascii="仿宋_GB2312" w:hAnsi="宋体" w:eastAsia="仿宋_GB2312"/>
          <w:color w:val="auto"/>
          <w:sz w:val="32"/>
          <w:szCs w:val="32"/>
        </w:rPr>
        <w:t>清理铜厂转盘附近、城东大道入城口、百旺1路、城西大道、北环路建筑垃圾8车（农用车）、生活垃圾6车（三轮车）。并</w:t>
      </w:r>
      <w:r>
        <w:rPr>
          <w:rFonts w:hint="eastAsia" w:ascii="仿宋_GB2312" w:eastAsia="仿宋_GB2312"/>
          <w:color w:val="auto"/>
          <w:sz w:val="32"/>
          <w:szCs w:val="32"/>
        </w:rPr>
        <w:t>协助西环、东风、拉友、桥卜等社区清理社区街巷的陈旧生活垃圾、大件垃圾共9车（电动三轮车），配合做到社区不留卫生死角。</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2</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加强垃圾清运的监督管理。</w:t>
      </w:r>
      <w:r>
        <w:rPr>
          <w:rFonts w:hint="eastAsia" w:ascii="仿宋_GB2312" w:hAnsi="黑体" w:eastAsia="仿宋_GB2312"/>
          <w:b/>
          <w:bCs/>
          <w:color w:val="auto"/>
          <w:sz w:val="32"/>
          <w:szCs w:val="32"/>
          <w:lang w:eastAsia="zh-CN"/>
        </w:rPr>
        <w:t>一是</w:t>
      </w:r>
      <w:r>
        <w:rPr>
          <w:rFonts w:hint="eastAsia" w:ascii="仿宋_GB2312" w:hAnsi="黑体" w:eastAsia="仿宋_GB2312"/>
          <w:color w:val="auto"/>
          <w:sz w:val="32"/>
          <w:szCs w:val="32"/>
        </w:rPr>
        <w:t>加强监督检查，严格禁止上门清运垃圾服务人员在工作中开垃圾包翻捡废品回收物的行为，发现一例处罚一例。与卫生健康部门密切配合，加强对已发生病例居民楼层（工行惠文小区）生活垃圾的收运处置，居民生活垃圾统一由卫健人员上楼收集并集中消毒处理，处理后方由我处环卫工人专人专车收运，防止病毒通过生活垃圾扩散。</w:t>
      </w:r>
      <w:r>
        <w:rPr>
          <w:rFonts w:hint="eastAsia" w:ascii="仿宋_GB2312" w:hAnsi="黑体" w:eastAsia="仿宋_GB2312"/>
          <w:b/>
          <w:bCs/>
          <w:color w:val="auto"/>
          <w:sz w:val="32"/>
          <w:szCs w:val="32"/>
          <w:lang w:eastAsia="zh-CN"/>
        </w:rPr>
        <w:t>二是</w:t>
      </w:r>
      <w:r>
        <w:rPr>
          <w:rFonts w:hint="eastAsia" w:ascii="仿宋_GB2312" w:hAnsi="黑体" w:eastAsia="仿宋_GB2312"/>
          <w:color w:val="auto"/>
          <w:sz w:val="32"/>
          <w:szCs w:val="32"/>
        </w:rPr>
        <w:t>积极做好垃圾收运宣传及服务工作</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对金城江区蔬菜公司等十余个单位小区因对疫情恐慌而将垃圾倒在单位小区外公共场所的问题，及时上门进行沟通宣传，动员上述单位在小区院内定点设置密闭垃圾收集桶，规范了居民生活垃圾的投放地点及时间，解决垃圾出小区、公共场所垃圾无序堆积的问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3</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废弃口罩等特殊有害垃圾单独收运处置。</w:t>
      </w:r>
      <w:r>
        <w:rPr>
          <w:rFonts w:hint="eastAsia" w:ascii="仿宋_GB2312" w:hAnsi="黑体" w:eastAsia="仿宋_GB2312"/>
          <w:color w:val="auto"/>
          <w:sz w:val="32"/>
          <w:szCs w:val="32"/>
        </w:rPr>
        <w:t>配合市区两级宣传部门积极宣传废弃口罩的投放要求，引导居民使用密封袋、保鲜袋将废弃口罩密封后丢人专用收集桶，同时在在城区车站、市场、公交、商场等公共场所设置废弃口罩等有害垃圾专用收集桶195个，内村塑料垃圾袋，每日定时安排专车收集垃圾一次、消毒收集桶一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4</w:t>
      </w: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rPr>
        <w:t>认真开展设施设备消杀工作。</w:t>
      </w:r>
      <w:r>
        <w:rPr>
          <w:rFonts w:hint="eastAsia" w:ascii="仿宋_GB2312" w:hAnsi="黑体" w:eastAsia="仿宋_GB2312"/>
          <w:color w:val="auto"/>
          <w:sz w:val="32"/>
          <w:szCs w:val="32"/>
        </w:rPr>
        <w:t>按照《公共场所预防性消毒技术指南》等有关规定对消杀人员进行培训，根据实际分配消毒器材，落实责任人员，</w:t>
      </w:r>
      <w:r>
        <w:rPr>
          <w:rFonts w:hint="eastAsia" w:ascii="仿宋_GB2312" w:hAnsi="黑体" w:eastAsia="仿宋_GB2312"/>
          <w:color w:val="auto"/>
          <w:sz w:val="32"/>
          <w:szCs w:val="32"/>
          <w:lang w:eastAsia="zh-CN"/>
        </w:rPr>
        <w:t>根据疫情高风险等级，制定消杀制度，在高风险时段，</w:t>
      </w:r>
      <w:r>
        <w:rPr>
          <w:rFonts w:hint="eastAsia" w:ascii="仿宋_GB2312" w:hAnsi="黑体" w:eastAsia="仿宋_GB2312"/>
          <w:color w:val="auto"/>
          <w:sz w:val="32"/>
          <w:szCs w:val="32"/>
        </w:rPr>
        <w:t>每日对单位17个办公场所、停车场、洗车场、2</w:t>
      </w:r>
      <w:r>
        <w:rPr>
          <w:rFonts w:hint="eastAsia" w:ascii="仿宋_GB2312" w:hAnsi="黑体" w:eastAsia="仿宋_GB2312"/>
          <w:color w:val="auto"/>
          <w:sz w:val="32"/>
          <w:szCs w:val="32"/>
          <w:lang w:val="en-US" w:eastAsia="zh-CN"/>
        </w:rPr>
        <w:t>6</w:t>
      </w:r>
      <w:r>
        <w:rPr>
          <w:rFonts w:hint="eastAsia" w:ascii="仿宋_GB2312" w:hAnsi="黑体" w:eastAsia="仿宋_GB2312"/>
          <w:color w:val="auto"/>
          <w:sz w:val="32"/>
          <w:szCs w:val="32"/>
        </w:rPr>
        <w:t>座公厕</w:t>
      </w:r>
      <w:r>
        <w:rPr>
          <w:rFonts w:hint="eastAsia" w:ascii="仿宋_GB2312" w:hAnsi="黑体" w:eastAsia="仿宋_GB2312"/>
          <w:color w:val="auto"/>
          <w:sz w:val="32"/>
          <w:szCs w:val="32"/>
          <w:lang w:eastAsia="zh-CN"/>
        </w:rPr>
        <w:t>（含移动公厕）</w:t>
      </w:r>
      <w:r>
        <w:rPr>
          <w:rFonts w:hint="eastAsia" w:ascii="仿宋_GB2312" w:hAnsi="黑体" w:eastAsia="仿宋_GB2312"/>
          <w:color w:val="auto"/>
          <w:sz w:val="32"/>
          <w:szCs w:val="32"/>
        </w:rPr>
        <w:t>、1100多个果皮箱、180辆保洁三轮车、</w:t>
      </w:r>
      <w:r>
        <w:rPr>
          <w:rFonts w:hint="eastAsia" w:ascii="仿宋_GB2312" w:hAnsi="黑体" w:eastAsia="仿宋_GB2312"/>
          <w:color w:val="auto"/>
          <w:sz w:val="32"/>
          <w:szCs w:val="32"/>
          <w:lang w:val="en-US" w:eastAsia="zh-CN"/>
        </w:rPr>
        <w:t>40</w:t>
      </w:r>
      <w:r>
        <w:rPr>
          <w:rFonts w:hint="eastAsia" w:ascii="仿宋_GB2312" w:hAnsi="黑体" w:eastAsia="仿宋_GB2312"/>
          <w:color w:val="auto"/>
          <w:sz w:val="32"/>
          <w:szCs w:val="32"/>
        </w:rPr>
        <w:t>辆机动生产车全面消毒一次。</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黑体" w:eastAsia="仿宋_GB2312"/>
          <w:color w:val="auto"/>
          <w:sz w:val="32"/>
          <w:szCs w:val="32"/>
        </w:rPr>
      </w:pPr>
      <w:r>
        <w:rPr>
          <w:rFonts w:hint="eastAsia" w:ascii="仿宋_GB2312" w:hAnsi="黑体" w:eastAsia="仿宋_GB2312"/>
          <w:b/>
          <w:bCs/>
          <w:color w:val="auto"/>
          <w:sz w:val="32"/>
          <w:szCs w:val="32"/>
          <w:lang w:eastAsia="zh-CN"/>
        </w:rPr>
        <w:t>（</w:t>
      </w:r>
      <w:r>
        <w:rPr>
          <w:rFonts w:hint="eastAsia" w:ascii="仿宋_GB2312" w:hAnsi="黑体" w:eastAsia="仿宋_GB2312"/>
          <w:b/>
          <w:bCs/>
          <w:color w:val="auto"/>
          <w:sz w:val="32"/>
          <w:szCs w:val="32"/>
          <w:lang w:val="en-US" w:eastAsia="zh-CN"/>
        </w:rPr>
        <w:t>5</w:t>
      </w:r>
      <w:r>
        <w:rPr>
          <w:rFonts w:hint="eastAsia" w:ascii="仿宋_GB2312" w:hAnsi="黑体" w:eastAsia="仿宋_GB2312"/>
          <w:b/>
          <w:bCs/>
          <w:color w:val="auto"/>
          <w:sz w:val="32"/>
          <w:szCs w:val="32"/>
          <w:lang w:eastAsia="zh-CN"/>
        </w:rPr>
        <w:t>）力争防疫物资保障，</w:t>
      </w:r>
      <w:r>
        <w:rPr>
          <w:rFonts w:hint="eastAsia" w:ascii="仿宋_GB2312" w:hAnsi="黑体" w:eastAsia="仿宋_GB2312"/>
          <w:b/>
          <w:bCs/>
          <w:color w:val="auto"/>
          <w:sz w:val="32"/>
          <w:szCs w:val="32"/>
        </w:rPr>
        <w:t>加强环卫工人防疫知识培训及作业防护</w:t>
      </w:r>
      <w:r>
        <w:rPr>
          <w:rFonts w:hint="eastAsia" w:ascii="仿宋_GB2312" w:hAnsi="黑体" w:eastAsia="仿宋_GB2312"/>
          <w:b/>
          <w:bCs/>
          <w:color w:val="auto"/>
          <w:sz w:val="32"/>
          <w:szCs w:val="32"/>
          <w:lang w:val="en-US" w:eastAsia="zh-CN"/>
        </w:rPr>
        <w:t>,保障一线工人受感染风险</w:t>
      </w:r>
      <w:r>
        <w:rPr>
          <w:rFonts w:hint="eastAsia" w:ascii="仿宋_GB2312" w:hAnsi="黑体" w:eastAsia="仿宋_GB2312"/>
          <w:b/>
          <w:bCs/>
          <w:color w:val="auto"/>
          <w:sz w:val="32"/>
          <w:szCs w:val="32"/>
        </w:rPr>
        <w:t>。</w:t>
      </w:r>
      <w:r>
        <w:rPr>
          <w:rFonts w:hint="eastAsia" w:ascii="仿宋_GB2312" w:hAnsi="黑体" w:eastAsia="仿宋_GB2312"/>
          <w:color w:val="auto"/>
          <w:sz w:val="32"/>
          <w:szCs w:val="32"/>
        </w:rPr>
        <w:t>制订《新型冠状病毒感染的肺炎防控知识培训手册》，通过张贴、短信微信转发等形式，加强环卫工人防疫知识的教育培训工作，增强环卫从业人员的自我防护意识</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积极向上级、社会部门争取</w:t>
      </w:r>
      <w:r>
        <w:rPr>
          <w:rFonts w:hint="eastAsia" w:ascii="仿宋_GB2312" w:hAnsi="黑体" w:eastAsia="仿宋_GB2312"/>
          <w:color w:val="auto"/>
          <w:sz w:val="32"/>
          <w:szCs w:val="32"/>
          <w:lang w:eastAsia="zh-CN"/>
        </w:rPr>
        <w:t>防疫</w:t>
      </w:r>
      <w:r>
        <w:rPr>
          <w:rFonts w:hint="eastAsia" w:ascii="仿宋_GB2312" w:hAnsi="黑体" w:eastAsia="仿宋_GB2312"/>
          <w:color w:val="auto"/>
          <w:sz w:val="32"/>
          <w:szCs w:val="32"/>
        </w:rPr>
        <w:t>口罩、消毒酒精等防护</w:t>
      </w:r>
      <w:r>
        <w:rPr>
          <w:rFonts w:hint="eastAsia" w:ascii="仿宋_GB2312" w:hAnsi="黑体" w:eastAsia="仿宋_GB2312"/>
          <w:color w:val="auto"/>
          <w:sz w:val="32"/>
          <w:szCs w:val="32"/>
          <w:lang w:eastAsia="zh-CN"/>
        </w:rPr>
        <w:t>物资</w:t>
      </w:r>
      <w:r>
        <w:rPr>
          <w:rFonts w:hint="eastAsia" w:ascii="仿宋_GB2312" w:hAnsi="黑体" w:eastAsia="仿宋_GB2312"/>
          <w:color w:val="auto"/>
          <w:sz w:val="32"/>
          <w:szCs w:val="32"/>
        </w:rPr>
        <w:t>，</w:t>
      </w:r>
      <w:r>
        <w:rPr>
          <w:rFonts w:hint="eastAsia" w:ascii="仿宋_GB2312" w:hAnsi="黑体" w:eastAsia="仿宋_GB2312"/>
          <w:color w:val="auto"/>
          <w:sz w:val="32"/>
          <w:szCs w:val="32"/>
          <w:lang w:eastAsia="zh-CN"/>
        </w:rPr>
        <w:t>防护</w:t>
      </w:r>
      <w:r>
        <w:rPr>
          <w:rFonts w:hint="eastAsia" w:ascii="仿宋_GB2312" w:hAnsi="黑体" w:eastAsia="仿宋_GB2312"/>
          <w:color w:val="auto"/>
          <w:sz w:val="32"/>
          <w:szCs w:val="32"/>
        </w:rPr>
        <w:t>品发放严格向一线倾斜，严查作业时不戴口罩、手套的行为，认真维护环卫工人的健康安全。</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3、</w:t>
      </w:r>
      <w:r>
        <w:rPr>
          <w:rFonts w:hint="eastAsia" w:ascii="仿宋_GB2312" w:eastAsia="仿宋_GB2312"/>
          <w:b/>
          <w:bCs/>
          <w:color w:val="auto"/>
          <w:sz w:val="32"/>
          <w:szCs w:val="32"/>
        </w:rPr>
        <w:t>扎实开展创建文明城市各项整治行动</w:t>
      </w:r>
    </w:p>
    <w:p>
      <w:pPr>
        <w:snapToGrid w:val="0"/>
        <w:spacing w:line="560" w:lineRule="exact"/>
        <w:ind w:firstLine="643" w:firstLineChars="200"/>
        <w:rPr>
          <w:rFonts w:ascii="仿宋_GB2312" w:eastAsia="仿宋_GB2312"/>
          <w:color w:val="auto"/>
          <w:kern w:val="0"/>
          <w:sz w:val="32"/>
          <w:szCs w:val="32"/>
        </w:rPr>
      </w:pPr>
      <w:r>
        <w:rPr>
          <w:rFonts w:hint="eastAsia" w:ascii="仿宋_GB2312" w:eastAsia="仿宋_GB2312"/>
          <w:b/>
          <w:bCs/>
          <w:color w:val="auto"/>
          <w:kern w:val="0"/>
          <w:sz w:val="32"/>
          <w:szCs w:val="32"/>
          <w:lang w:eastAsia="zh-CN"/>
        </w:rPr>
        <w:t>（</w:t>
      </w:r>
      <w:r>
        <w:rPr>
          <w:rFonts w:hint="eastAsia" w:ascii="仿宋_GB2312" w:eastAsia="仿宋_GB2312"/>
          <w:b/>
          <w:bCs/>
          <w:color w:val="auto"/>
          <w:kern w:val="0"/>
          <w:sz w:val="32"/>
          <w:szCs w:val="32"/>
          <w:lang w:val="en-US" w:eastAsia="zh-CN"/>
        </w:rPr>
        <w:t>1</w:t>
      </w:r>
      <w:r>
        <w:rPr>
          <w:rFonts w:hint="eastAsia" w:ascii="仿宋_GB2312" w:eastAsia="仿宋_GB2312"/>
          <w:b/>
          <w:bCs/>
          <w:color w:val="auto"/>
          <w:kern w:val="0"/>
          <w:sz w:val="32"/>
          <w:szCs w:val="32"/>
          <w:lang w:eastAsia="zh-CN"/>
        </w:rPr>
        <w:t>）</w:t>
      </w:r>
      <w:r>
        <w:rPr>
          <w:rFonts w:hint="eastAsia" w:ascii="仿宋_GB2312" w:eastAsia="仿宋_GB2312"/>
          <w:b/>
          <w:bCs/>
          <w:color w:val="auto"/>
          <w:kern w:val="0"/>
          <w:sz w:val="32"/>
          <w:szCs w:val="32"/>
        </w:rPr>
        <w:t>加强主次道路、广场日常清扫保洁</w:t>
      </w:r>
      <w:r>
        <w:rPr>
          <w:rFonts w:hint="eastAsia" w:ascii="仿宋_GB2312" w:eastAsia="仿宋_GB2312"/>
          <w:color w:val="auto"/>
          <w:kern w:val="0"/>
          <w:sz w:val="32"/>
          <w:szCs w:val="32"/>
        </w:rPr>
        <w:t>。围绕保洁工作存在的垃圾落地滞留、保洁不细致、留死角的突出问题，制订《关于加强清扫保洁管理的通知》，进一步细化量化保洁作业要求，通过队长会议、班组长会议、微信工作群通知的方式传达到每一位员工，特别</w:t>
      </w:r>
      <w:r>
        <w:rPr>
          <w:rFonts w:hint="eastAsia" w:ascii="仿宋_GB2312" w:eastAsia="仿宋_GB2312"/>
          <w:color w:val="auto"/>
          <w:sz w:val="32"/>
          <w:szCs w:val="32"/>
        </w:rPr>
        <w:t>强调保洁作业不得漏处理烟头、小纸屑、痰渍、呕吐物、动物粪便等垃圾，不得漏清路树树池等部位。对重点路段要求每班保洁作业要在2.5-3小时内完成一轮，余下时间回头巡回保洁，及时清除果皮箱周边滞留垃圾，全力</w:t>
      </w:r>
      <w:r>
        <w:rPr>
          <w:rFonts w:hint="eastAsia" w:ascii="仿宋_GB2312" w:eastAsia="仿宋_GB2312"/>
          <w:color w:val="auto"/>
          <w:kern w:val="0"/>
          <w:sz w:val="32"/>
          <w:szCs w:val="32"/>
        </w:rPr>
        <w:t>提升保洁质量。</w:t>
      </w:r>
    </w:p>
    <w:p>
      <w:pPr>
        <w:snapToGrid w:val="0"/>
        <w:spacing w:line="560" w:lineRule="exact"/>
        <w:ind w:firstLine="643" w:firstLineChars="200"/>
        <w:rPr>
          <w:rFonts w:ascii="仿宋_GB2312" w:eastAsia="仿宋_GB2312"/>
          <w:color w:val="auto"/>
          <w:kern w:val="0"/>
          <w:sz w:val="32"/>
          <w:szCs w:val="32"/>
        </w:rPr>
      </w:pPr>
      <w:r>
        <w:rPr>
          <w:rFonts w:hint="eastAsia" w:ascii="仿宋_GB2312" w:eastAsia="仿宋_GB2312"/>
          <w:b/>
          <w:bCs/>
          <w:color w:val="auto"/>
          <w:kern w:val="0"/>
          <w:sz w:val="32"/>
          <w:szCs w:val="32"/>
        </w:rPr>
        <w:t>（2）增配快速巡查保洁员，增加巡回保洁次数。</w:t>
      </w:r>
      <w:r>
        <w:rPr>
          <w:rFonts w:hint="eastAsia" w:ascii="仿宋_GB2312" w:eastAsia="仿宋_GB2312"/>
          <w:color w:val="auto"/>
          <w:kern w:val="0"/>
          <w:sz w:val="32"/>
          <w:szCs w:val="32"/>
        </w:rPr>
        <w:t>2020年4月起四个清扫片区增配1名快速巡查保洁员，巡回清理责任区临时性、突发性垃圾或果皮箱、道路旁滞留垃圾，工作重点向保洁任务重、垃圾落地问题严重的路段时段倾斜，努力做到垃圾随有随清，缩短滞留时间。</w:t>
      </w:r>
    </w:p>
    <w:p>
      <w:pPr>
        <w:snapToGrid w:val="0"/>
        <w:spacing w:line="560" w:lineRule="exact"/>
        <w:ind w:firstLine="643" w:firstLineChars="200"/>
        <w:rPr>
          <w:rFonts w:ascii="仿宋_GB2312" w:eastAsia="仿宋_GB2312"/>
          <w:color w:val="auto"/>
          <w:kern w:val="0"/>
          <w:sz w:val="32"/>
          <w:szCs w:val="32"/>
        </w:rPr>
      </w:pPr>
      <w:r>
        <w:rPr>
          <w:rFonts w:hint="eastAsia" w:ascii="仿宋_GB2312" w:eastAsia="仿宋_GB2312"/>
          <w:b/>
          <w:bCs/>
          <w:color w:val="auto"/>
          <w:kern w:val="0"/>
          <w:sz w:val="32"/>
          <w:szCs w:val="32"/>
        </w:rPr>
        <w:t>（3）重要时段全员上岗。</w:t>
      </w:r>
      <w:r>
        <w:rPr>
          <w:rFonts w:hint="eastAsia" w:ascii="仿宋_GB2312" w:eastAsia="仿宋_GB2312"/>
          <w:color w:val="auto"/>
          <w:kern w:val="0"/>
          <w:sz w:val="32"/>
          <w:szCs w:val="32"/>
        </w:rPr>
        <w:t>当前影响道路保洁质量的最大问题是市民随时随地丢弃的垃圾，前扫后丢、果皮箱周边垃圾清了又有等情况较普遍，短期内解决这个问题的办法只有加强保洁力量。从7月7-13日，每个主要保洁路段有2人休息的，只安排1人轮休，另1人加班专职清理路段烟头、树池及落地垃圾。从7月14日-31日，所有保洁路段的保洁员、快速员、电车清运员统一不安排休息全员上岗，每日加班人员达60多人，主要安排在每日7:30-11:30、14:30-18:30进行保洁或垃圾清运作业，保障道路、广场、果皮箱垃圾尽早得到清理。</w:t>
      </w:r>
    </w:p>
    <w:p>
      <w:pPr>
        <w:snapToGrid w:val="0"/>
        <w:spacing w:line="560" w:lineRule="exact"/>
        <w:ind w:firstLine="643" w:firstLineChars="200"/>
        <w:rPr>
          <w:rFonts w:hint="eastAsia" w:ascii="仿宋_GB2312" w:eastAsia="仿宋_GB2312"/>
          <w:b/>
          <w:bCs/>
          <w:color w:val="auto"/>
          <w:sz w:val="32"/>
          <w:szCs w:val="32"/>
          <w:lang w:eastAsia="zh-CN"/>
        </w:rPr>
      </w:pPr>
      <w:r>
        <w:rPr>
          <w:rFonts w:hint="eastAsia" w:ascii="仿宋_GB2312" w:eastAsia="仿宋_GB2312"/>
          <w:b/>
          <w:bCs/>
          <w:color w:val="auto"/>
          <w:kern w:val="0"/>
          <w:sz w:val="32"/>
          <w:szCs w:val="32"/>
        </w:rPr>
        <w:t>（4）及时清运大件垃圾。</w:t>
      </w:r>
      <w:r>
        <w:rPr>
          <w:rFonts w:hint="eastAsia" w:ascii="仿宋_GB2312" w:eastAsia="仿宋_GB2312"/>
          <w:color w:val="auto"/>
          <w:sz w:val="32"/>
          <w:szCs w:val="32"/>
        </w:rPr>
        <w:t>为解决城区居民丢弃的大件垃圾（沙发、床垫等旧家具）逐年增多的问题</w:t>
      </w:r>
      <w:r>
        <w:rPr>
          <w:rFonts w:hint="eastAsia" w:ascii="仿宋_GB2312" w:eastAsia="仿宋_GB2312"/>
          <w:color w:val="auto"/>
          <w:sz w:val="32"/>
          <w:szCs w:val="32"/>
          <w:lang w:eastAsia="zh-CN"/>
        </w:rPr>
        <w:t>，在去年新增专职专车清理城区大件垃圾岗位人员后，今年再增</w:t>
      </w:r>
      <w:r>
        <w:rPr>
          <w:rFonts w:hint="eastAsia" w:ascii="仿宋_GB2312" w:eastAsia="仿宋_GB2312"/>
          <w:color w:val="auto"/>
          <w:sz w:val="32"/>
          <w:szCs w:val="32"/>
          <w:lang w:val="en-US" w:eastAsia="zh-CN"/>
        </w:rPr>
        <w:t>1人1车，</w:t>
      </w:r>
      <w:r>
        <w:rPr>
          <w:rFonts w:hint="eastAsia" w:ascii="仿宋_GB2312" w:eastAsia="仿宋_GB2312"/>
          <w:color w:val="auto"/>
          <w:kern w:val="0"/>
          <w:sz w:val="32"/>
          <w:szCs w:val="32"/>
        </w:rPr>
        <w:t>两人</w:t>
      </w:r>
      <w:r>
        <w:rPr>
          <w:rFonts w:hint="eastAsia" w:ascii="仿宋_GB2312" w:eastAsia="仿宋_GB2312"/>
          <w:color w:val="auto"/>
          <w:kern w:val="0"/>
          <w:sz w:val="32"/>
          <w:szCs w:val="32"/>
          <w:lang w:eastAsia="zh-CN"/>
        </w:rPr>
        <w:t>全天</w:t>
      </w:r>
      <w:r>
        <w:rPr>
          <w:rFonts w:hint="eastAsia" w:ascii="仿宋_GB2312" w:eastAsia="仿宋_GB2312"/>
          <w:color w:val="auto"/>
          <w:kern w:val="0"/>
          <w:sz w:val="32"/>
          <w:szCs w:val="32"/>
        </w:rPr>
        <w:t>轮班清理大件垃圾，</w:t>
      </w:r>
      <w:r>
        <w:rPr>
          <w:rFonts w:hint="eastAsia" w:ascii="仿宋_GB2312" w:eastAsia="仿宋_GB2312"/>
          <w:color w:val="auto"/>
          <w:kern w:val="0"/>
          <w:sz w:val="32"/>
          <w:szCs w:val="32"/>
          <w:lang w:eastAsia="zh-CN"/>
        </w:rPr>
        <w:t>保障日产日清</w:t>
      </w:r>
      <w:r>
        <w:rPr>
          <w:rFonts w:hint="eastAsia" w:ascii="仿宋_GB2312" w:eastAsia="仿宋_GB2312"/>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color w:val="auto"/>
          <w:sz w:val="32"/>
          <w:szCs w:val="32"/>
        </w:rPr>
      </w:pPr>
      <w:r>
        <w:rPr>
          <w:rFonts w:hint="eastAsia" w:ascii="仿宋_GB2312" w:hAnsi="宋体" w:eastAsia="仿宋_GB2312" w:cs="Times New Roman"/>
          <w:b/>
          <w:bCs/>
          <w:color w:val="auto"/>
          <w:sz w:val="32"/>
          <w:szCs w:val="32"/>
          <w:lang w:val="en-US" w:eastAsia="zh-CN"/>
        </w:rPr>
        <w:t>4、</w:t>
      </w:r>
      <w:r>
        <w:rPr>
          <w:rFonts w:hint="eastAsia" w:ascii="仿宋_GB2312" w:hAnsi="宋体" w:eastAsia="仿宋_GB2312" w:cs="Times New Roman"/>
          <w:b/>
          <w:bCs/>
          <w:color w:val="auto"/>
          <w:sz w:val="32"/>
          <w:szCs w:val="32"/>
        </w:rPr>
        <w:t>认真履行“河长制”工作职责</w:t>
      </w:r>
      <w:r>
        <w:rPr>
          <w:rFonts w:hint="eastAsia" w:ascii="仿宋_GB2312" w:hAnsi="宋体"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rPr>
        <w:t>定期清理城区河堤垃圾</w:t>
      </w:r>
      <w:r>
        <w:rPr>
          <w:rFonts w:hint="eastAsia" w:ascii="仿宋_GB2312" w:eastAsia="仿宋_GB2312"/>
          <w:color w:val="auto"/>
          <w:sz w:val="32"/>
          <w:szCs w:val="32"/>
          <w:lang w:eastAsia="zh-CN"/>
        </w:rPr>
        <w:t>，</w:t>
      </w:r>
      <w:r>
        <w:rPr>
          <w:rFonts w:hint="eastAsia" w:ascii="仿宋_GB2312" w:eastAsia="仿宋_GB2312"/>
          <w:color w:val="auto"/>
          <w:kern w:val="0"/>
          <w:sz w:val="32"/>
          <w:szCs w:val="32"/>
        </w:rPr>
        <w:t>加强河岸垃圾清理力度</w:t>
      </w:r>
      <w:r>
        <w:rPr>
          <w:rFonts w:hint="eastAsia" w:ascii="仿宋_GB2312" w:eastAsia="仿宋_GB2312"/>
          <w:color w:val="auto"/>
          <w:sz w:val="32"/>
          <w:szCs w:val="32"/>
        </w:rPr>
        <w:t>。</w:t>
      </w:r>
      <w:r>
        <w:rPr>
          <w:rFonts w:hint="eastAsia" w:ascii="仿宋_GB2312" w:hAnsi="宋体" w:eastAsia="仿宋_GB2312" w:cs="宋体"/>
          <w:color w:val="auto"/>
          <w:kern w:val="0"/>
          <w:sz w:val="32"/>
          <w:szCs w:val="32"/>
        </w:rPr>
        <w:t>将城区龙江河河段（二桥—五桥）分为三个保洁责任区，分别由三个清扫组承担保洁任务，</w:t>
      </w:r>
      <w:r>
        <w:rPr>
          <w:rFonts w:hint="eastAsia" w:ascii="仿宋_GB2312" w:hAnsi="宋体" w:eastAsia="仿宋_GB2312" w:cs="宋体"/>
          <w:color w:val="auto"/>
          <w:kern w:val="0"/>
          <w:sz w:val="32"/>
          <w:szCs w:val="32"/>
          <w:lang w:eastAsia="zh-CN"/>
        </w:rPr>
        <w:t>上半年</w:t>
      </w:r>
      <w:r>
        <w:rPr>
          <w:rFonts w:hint="eastAsia" w:ascii="仿宋_GB2312" w:hAnsi="宋体" w:eastAsia="仿宋_GB2312" w:cs="宋体"/>
          <w:color w:val="auto"/>
          <w:kern w:val="0"/>
          <w:sz w:val="32"/>
          <w:szCs w:val="32"/>
        </w:rPr>
        <w:t>每月定期清理1-2次河岸生活垃圾。为加强保洁力度，6月起，将河堤清理次数提高至每月3-4次。</w:t>
      </w:r>
      <w:r>
        <w:rPr>
          <w:rFonts w:hint="eastAsia" w:ascii="仿宋_GB2312" w:hAnsi="宋体" w:eastAsia="仿宋_GB2312" w:cs="宋体"/>
          <w:color w:val="auto"/>
          <w:kern w:val="0"/>
          <w:sz w:val="32"/>
          <w:szCs w:val="32"/>
          <w:lang w:eastAsia="zh-CN"/>
        </w:rPr>
        <w:t>积极</w:t>
      </w:r>
      <w:r>
        <w:rPr>
          <w:rFonts w:hint="eastAsia" w:ascii="仿宋_GB2312" w:eastAsia="仿宋_GB2312"/>
          <w:color w:val="auto"/>
          <w:sz w:val="32"/>
          <w:szCs w:val="32"/>
        </w:rPr>
        <w:t>配合综合执法、民政部门开展劝离河岸一桥头、四桥下、老街河边等闲散人员（乞丐）</w:t>
      </w:r>
      <w:r>
        <w:rPr>
          <w:rFonts w:hint="eastAsia" w:ascii="仿宋_GB2312" w:eastAsia="仿宋_GB2312"/>
          <w:color w:val="auto"/>
          <w:sz w:val="32"/>
          <w:szCs w:val="32"/>
          <w:lang w:eastAsia="zh-CN"/>
        </w:rPr>
        <w:t>工作，并做好劝离后的场地垃圾清理工作。</w:t>
      </w:r>
    </w:p>
    <w:p>
      <w:pPr>
        <w:snapToGrid w:val="0"/>
        <w:spacing w:line="560" w:lineRule="exact"/>
        <w:ind w:firstLine="640" w:firstLineChars="200"/>
        <w:rPr>
          <w:rFonts w:hint="eastAsia" w:ascii="仿宋_GB2312" w:eastAsia="仿宋_GB2312"/>
          <w:b/>
          <w:snapToGrid w:val="0"/>
          <w:color w:val="auto"/>
          <w:kern w:val="0"/>
          <w:sz w:val="32"/>
          <w:szCs w:val="32"/>
        </w:rPr>
      </w:pPr>
      <w:r>
        <w:rPr>
          <w:rFonts w:hint="eastAsia" w:ascii="仿宋_GB2312" w:eastAsia="仿宋_GB2312"/>
          <w:color w:val="auto"/>
          <w:sz w:val="32"/>
          <w:szCs w:val="32"/>
          <w:lang w:val="en-US" w:eastAsia="zh-CN"/>
        </w:rPr>
        <w:t>5、</w:t>
      </w:r>
      <w:r>
        <w:rPr>
          <w:rFonts w:hint="eastAsia" w:ascii="仿宋_GB2312" w:eastAsia="仿宋_GB2312"/>
          <w:b/>
          <w:bCs/>
          <w:color w:val="auto"/>
          <w:sz w:val="32"/>
          <w:szCs w:val="32"/>
          <w:lang w:val="en-US" w:eastAsia="zh-CN"/>
        </w:rPr>
        <w:t>主动作为，</w:t>
      </w:r>
      <w:r>
        <w:rPr>
          <w:rFonts w:hint="eastAsia" w:ascii="仿宋_GB2312" w:eastAsia="仿宋_GB2312"/>
          <w:b/>
          <w:snapToGrid w:val="0"/>
          <w:color w:val="auto"/>
          <w:kern w:val="0"/>
          <w:sz w:val="32"/>
          <w:szCs w:val="32"/>
        </w:rPr>
        <w:t>扩大上门收集垃圾的覆盖面</w:t>
      </w:r>
    </w:p>
    <w:p>
      <w:pPr>
        <w:snapToGrid w:val="0"/>
        <w:spacing w:line="560" w:lineRule="exact"/>
        <w:ind w:firstLine="640" w:firstLineChars="200"/>
        <w:rPr>
          <w:rFonts w:hint="default" w:ascii="仿宋_GB2312" w:eastAsia="仿宋_GB2312"/>
          <w:color w:val="auto"/>
          <w:sz w:val="32"/>
          <w:szCs w:val="32"/>
          <w:lang w:val="en-US" w:eastAsia="zh-CN"/>
        </w:rPr>
      </w:pPr>
      <w:r>
        <w:rPr>
          <w:rFonts w:hint="eastAsia" w:ascii="仿宋_GB2312" w:eastAsia="仿宋_GB2312"/>
          <w:snapToGrid w:val="0"/>
          <w:color w:val="auto"/>
          <w:kern w:val="0"/>
          <w:sz w:val="32"/>
          <w:szCs w:val="32"/>
          <w:lang w:eastAsia="zh-CN"/>
        </w:rPr>
        <w:t>主动对接、接管</w:t>
      </w:r>
      <w:r>
        <w:rPr>
          <w:rFonts w:hint="eastAsia" w:ascii="仿宋_GB2312" w:eastAsia="仿宋_GB2312"/>
          <w:color w:val="auto"/>
          <w:sz w:val="32"/>
          <w:szCs w:val="32"/>
        </w:rPr>
        <w:t>铁路地区10个住宅小区</w:t>
      </w:r>
      <w:r>
        <w:rPr>
          <w:rFonts w:hint="eastAsia" w:ascii="仿宋_GB2312" w:eastAsia="仿宋_GB2312"/>
          <w:color w:val="auto"/>
          <w:sz w:val="32"/>
          <w:szCs w:val="32"/>
          <w:lang w:eastAsia="zh-CN"/>
        </w:rPr>
        <w:t>，为</w:t>
      </w:r>
      <w:r>
        <w:rPr>
          <w:rFonts w:hint="eastAsia" w:ascii="仿宋_GB2312" w:eastAsia="仿宋_GB2312"/>
          <w:color w:val="auto"/>
          <w:sz w:val="32"/>
          <w:szCs w:val="32"/>
        </w:rPr>
        <w:t>3</w:t>
      </w:r>
      <w:r>
        <w:rPr>
          <w:rFonts w:hint="eastAsia" w:ascii="仿宋_GB2312" w:eastAsia="仿宋_GB2312"/>
          <w:color w:val="auto"/>
          <w:sz w:val="32"/>
          <w:szCs w:val="32"/>
          <w:lang w:val="en-US" w:eastAsia="zh-CN"/>
        </w:rPr>
        <w:t>5</w:t>
      </w:r>
      <w:r>
        <w:rPr>
          <w:rFonts w:hint="eastAsia" w:ascii="仿宋_GB2312" w:eastAsia="仿宋_GB2312"/>
          <w:color w:val="auto"/>
          <w:sz w:val="32"/>
          <w:szCs w:val="32"/>
        </w:rPr>
        <w:t>00多住户提供</w:t>
      </w:r>
      <w:r>
        <w:rPr>
          <w:rFonts w:hint="eastAsia" w:ascii="仿宋_GB2312" w:eastAsia="仿宋_GB2312"/>
          <w:color w:val="auto"/>
          <w:sz w:val="32"/>
          <w:szCs w:val="32"/>
          <w:lang w:eastAsia="zh-CN"/>
        </w:rPr>
        <w:t>上门</w:t>
      </w:r>
      <w:r>
        <w:rPr>
          <w:rFonts w:hint="eastAsia" w:ascii="仿宋_GB2312" w:eastAsia="仿宋_GB2312"/>
          <w:color w:val="auto"/>
          <w:sz w:val="32"/>
          <w:szCs w:val="32"/>
        </w:rPr>
        <w:t>清运垃圾服务</w:t>
      </w:r>
      <w:r>
        <w:rPr>
          <w:rFonts w:hint="eastAsia" w:ascii="仿宋_GB2312" w:eastAsia="仿宋_GB2312"/>
          <w:color w:val="auto"/>
          <w:sz w:val="32"/>
          <w:szCs w:val="32"/>
          <w:lang w:eastAsia="zh-CN"/>
        </w:rPr>
        <w:t>。</w:t>
      </w:r>
      <w:r>
        <w:rPr>
          <w:rFonts w:hint="eastAsia" w:ascii="仿宋_GB2312" w:eastAsia="仿宋_GB2312"/>
          <w:snapToGrid w:val="0"/>
          <w:color w:val="auto"/>
          <w:kern w:val="0"/>
          <w:sz w:val="32"/>
          <w:szCs w:val="32"/>
        </w:rPr>
        <w:t>与各社区、小区、楼盘的物管部门加强联系，跟踪了解新建成的楼盘小区的居民入住情况，及时掌握城乡结合部、城中村的垃圾投放情况，积极协商第一时间提供上门收集垃圾服务，及时解决这些地段垃圾无序乱倒的问题。</w:t>
      </w:r>
      <w:r>
        <w:rPr>
          <w:rFonts w:hint="eastAsia" w:ascii="仿宋_GB2312" w:eastAsia="仿宋_GB2312"/>
          <w:snapToGrid w:val="0"/>
          <w:color w:val="auto"/>
          <w:kern w:val="0"/>
          <w:sz w:val="32"/>
          <w:szCs w:val="32"/>
          <w:lang w:eastAsia="zh-CN"/>
        </w:rPr>
        <w:t>新增锦逸时代小区、地区配件公司、百旺江潮屯等</w:t>
      </w:r>
      <w:r>
        <w:rPr>
          <w:rFonts w:hint="eastAsia" w:ascii="仿宋_GB2312" w:eastAsia="仿宋_GB2312"/>
          <w:snapToGrid w:val="0"/>
          <w:color w:val="auto"/>
          <w:kern w:val="0"/>
          <w:sz w:val="32"/>
          <w:szCs w:val="32"/>
          <w:lang w:val="en-US" w:eastAsia="zh-CN"/>
        </w:rPr>
        <w:t>6个小区共661户，</w:t>
      </w:r>
      <w:r>
        <w:rPr>
          <w:rFonts w:hint="eastAsia" w:ascii="仿宋_GB2312" w:eastAsia="仿宋_GB2312"/>
          <w:snapToGrid w:val="0"/>
          <w:color w:val="auto"/>
          <w:kern w:val="0"/>
          <w:sz w:val="32"/>
          <w:szCs w:val="32"/>
        </w:rPr>
        <w:t>全年</w:t>
      </w:r>
      <w:r>
        <w:rPr>
          <w:rFonts w:hint="eastAsia" w:ascii="仿宋_GB2312" w:eastAsia="仿宋_GB2312"/>
          <w:snapToGrid w:val="0"/>
          <w:color w:val="auto"/>
          <w:kern w:val="0"/>
          <w:sz w:val="32"/>
          <w:szCs w:val="32"/>
          <w:lang w:eastAsia="zh-CN"/>
        </w:rPr>
        <w:t>新增</w:t>
      </w:r>
      <w:r>
        <w:rPr>
          <w:rFonts w:hint="eastAsia" w:ascii="仿宋_GB2312" w:eastAsia="仿宋_GB2312"/>
          <w:snapToGrid w:val="0"/>
          <w:color w:val="auto"/>
          <w:kern w:val="0"/>
          <w:sz w:val="32"/>
          <w:szCs w:val="32"/>
        </w:rPr>
        <w:t>上门服务</w:t>
      </w:r>
      <w:r>
        <w:rPr>
          <w:rFonts w:hint="eastAsia" w:ascii="仿宋_GB2312" w:eastAsia="仿宋_GB2312"/>
          <w:snapToGrid w:val="0"/>
          <w:color w:val="auto"/>
          <w:kern w:val="0"/>
          <w:sz w:val="32"/>
          <w:szCs w:val="32"/>
          <w:lang w:eastAsia="zh-CN"/>
        </w:rPr>
        <w:t>户约</w:t>
      </w:r>
      <w:r>
        <w:rPr>
          <w:rFonts w:hint="eastAsia" w:ascii="仿宋_GB2312" w:eastAsia="仿宋_GB2312"/>
          <w:snapToGrid w:val="0"/>
          <w:color w:val="auto"/>
          <w:kern w:val="0"/>
          <w:sz w:val="32"/>
          <w:szCs w:val="32"/>
          <w:lang w:val="en-US" w:eastAsia="zh-CN"/>
        </w:rPr>
        <w:t>3861</w:t>
      </w:r>
      <w:r>
        <w:rPr>
          <w:rFonts w:hint="eastAsia" w:ascii="仿宋_GB2312" w:eastAsia="仿宋_GB2312"/>
          <w:bCs/>
          <w:snapToGrid w:val="0"/>
          <w:color w:val="auto"/>
          <w:kern w:val="0"/>
          <w:sz w:val="32"/>
          <w:szCs w:val="32"/>
        </w:rPr>
        <w:t>户，上门收集垃圾服务总户数达</w:t>
      </w:r>
      <w:r>
        <w:rPr>
          <w:rFonts w:hint="eastAsia" w:ascii="仿宋_GB2312" w:eastAsia="仿宋_GB2312"/>
          <w:bCs/>
          <w:snapToGrid w:val="0"/>
          <w:color w:val="auto"/>
          <w:kern w:val="0"/>
          <w:sz w:val="32"/>
          <w:szCs w:val="32"/>
          <w:lang w:val="en-US" w:eastAsia="zh-CN"/>
        </w:rPr>
        <w:t>59368户</w:t>
      </w:r>
      <w:r>
        <w:rPr>
          <w:rFonts w:hint="eastAsia" w:ascii="仿宋_GB2312" w:eastAsia="仿宋_GB2312"/>
          <w:bCs/>
          <w:snapToGrid w:val="0"/>
          <w:color w:val="auto"/>
          <w:kern w:val="0"/>
          <w:sz w:val="32"/>
          <w:szCs w:val="32"/>
        </w:rPr>
        <w:t>。</w:t>
      </w:r>
    </w:p>
    <w:p>
      <w:pPr>
        <w:snapToGrid w:val="0"/>
        <w:spacing w:line="56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lang w:val="en-US" w:eastAsia="zh-CN"/>
        </w:rPr>
        <w:t>6、</w:t>
      </w:r>
      <w:r>
        <w:rPr>
          <w:rFonts w:hint="eastAsia" w:ascii="仿宋_GB2312" w:eastAsia="仿宋_GB2312"/>
          <w:b/>
          <w:bCs/>
          <w:color w:val="auto"/>
          <w:sz w:val="32"/>
          <w:szCs w:val="32"/>
        </w:rPr>
        <w:t>加强道路垃圾桶维护维修</w:t>
      </w:r>
    </w:p>
    <w:p>
      <w:pPr>
        <w:snapToGrid w:val="0"/>
        <w:spacing w:line="56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全面维修道路果皮箱。6-7月对全城道路果皮箱的完好情况再次进行全面核实，落实专人抓紧采购果皮箱维修配件，并组织人员对破损果皮箱进行维修及更换。至7月15日，为城区350个果皮箱安装缺失顶盖510张，将思源广场3个单桶果皮箱更换为不锈钢分类果皮箱。</w:t>
      </w:r>
    </w:p>
    <w:p>
      <w:pPr>
        <w:snapToGrid w:val="0"/>
        <w:spacing w:line="560" w:lineRule="exact"/>
        <w:ind w:firstLine="643"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lang w:val="en-US" w:eastAsia="zh-CN"/>
        </w:rPr>
        <w:t>7、积极开展垃圾分类工作</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default" w:ascii="仿宋_GB2312" w:eastAsia="仿宋_GB2312"/>
          <w:color w:val="auto"/>
          <w:sz w:val="32"/>
          <w:szCs w:val="32"/>
          <w:lang w:val="en-US"/>
        </w:rPr>
      </w:pPr>
      <w:r>
        <w:rPr>
          <w:rFonts w:hint="eastAsia" w:ascii="仿宋_GB2312" w:eastAsia="仿宋_GB2312"/>
          <w:b/>
          <w:bCs/>
          <w:color w:val="auto"/>
          <w:sz w:val="32"/>
          <w:szCs w:val="32"/>
        </w:rPr>
        <w:t>（1）</w:t>
      </w:r>
      <w:r>
        <w:rPr>
          <w:rFonts w:hint="eastAsia" w:ascii="仿宋_GB2312" w:eastAsia="仿宋_GB2312"/>
          <w:b/>
          <w:bCs/>
          <w:color w:val="auto"/>
          <w:sz w:val="32"/>
          <w:szCs w:val="32"/>
          <w:lang w:eastAsia="zh-CN"/>
        </w:rPr>
        <w:t>开展垃圾分类宣传活动和分类知识学习培训。</w:t>
      </w:r>
      <w:r>
        <w:rPr>
          <w:rFonts w:hint="eastAsia" w:ascii="仿宋_GB2312" w:eastAsia="仿宋_GB2312"/>
          <w:color w:val="auto"/>
          <w:sz w:val="32"/>
          <w:szCs w:val="32"/>
          <w:lang w:val="en-US" w:eastAsia="zh-CN"/>
        </w:rPr>
        <w:t>6月30日，协市生活垃圾分类办、市公共机构节能办在城区思源广场联合举行生活垃圾分类宣传活动，并热情引导市民正确认识和如何做好垃圾分类工作，取得了良好的宣传效果。8月至10月，分别组织上门职工组和清扫保洁四个片区职工共200多人参加垃圾分类专题培训课，把垃圾分类的重要性和分类内容灌输到每位职工的意识之中。</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color w:val="auto"/>
          <w:sz w:val="32"/>
          <w:szCs w:val="32"/>
          <w:lang w:eastAsia="zh-CN"/>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完善垃圾桶</w:t>
      </w:r>
      <w:r>
        <w:rPr>
          <w:rFonts w:hint="eastAsia" w:ascii="仿宋_GB2312" w:eastAsia="仿宋_GB2312"/>
          <w:b/>
          <w:bCs/>
          <w:color w:val="auto"/>
          <w:sz w:val="32"/>
          <w:szCs w:val="32"/>
          <w:lang w:eastAsia="zh-CN"/>
        </w:rPr>
        <w:t>和收集垃圾三轮车</w:t>
      </w:r>
      <w:r>
        <w:rPr>
          <w:rFonts w:hint="eastAsia" w:ascii="仿宋_GB2312" w:eastAsia="仿宋_GB2312"/>
          <w:b/>
          <w:bCs/>
          <w:color w:val="auto"/>
          <w:sz w:val="32"/>
          <w:szCs w:val="32"/>
        </w:rPr>
        <w:t>分类标识。</w:t>
      </w:r>
      <w:r>
        <w:rPr>
          <w:rFonts w:hint="eastAsia" w:ascii="仿宋_GB2312" w:eastAsia="仿宋_GB2312"/>
          <w:color w:val="auto"/>
          <w:sz w:val="32"/>
          <w:szCs w:val="32"/>
          <w:lang w:eastAsia="zh-CN"/>
        </w:rPr>
        <w:t>由于使用年份和受人为破坏原因，</w:t>
      </w:r>
      <w:r>
        <w:rPr>
          <w:rFonts w:hint="eastAsia" w:ascii="仿宋_GB2312" w:eastAsia="仿宋_GB2312"/>
          <w:color w:val="auto"/>
          <w:sz w:val="32"/>
          <w:szCs w:val="32"/>
        </w:rPr>
        <w:t>部分果皮箱桶身上分类字样脱落、无分类字样，造成部分路段垃圾桶无分类标志的问题。5月28日</w:t>
      </w:r>
      <w:r>
        <w:rPr>
          <w:rFonts w:hint="eastAsia" w:ascii="仿宋_GB2312" w:eastAsia="仿宋_GB2312"/>
          <w:color w:val="auto"/>
          <w:sz w:val="32"/>
          <w:szCs w:val="32"/>
          <w:lang w:eastAsia="zh-CN"/>
        </w:rPr>
        <w:t>以来</w:t>
      </w:r>
      <w:r>
        <w:rPr>
          <w:rFonts w:hint="eastAsia" w:ascii="仿宋_GB2312" w:eastAsia="仿宋_GB2312"/>
          <w:color w:val="auto"/>
          <w:sz w:val="32"/>
          <w:szCs w:val="32"/>
        </w:rPr>
        <w:t>，我处以喷漆喷字形式完成557多个垃圾桶分类标志补充完善工作。</w:t>
      </w:r>
      <w:r>
        <w:rPr>
          <w:rFonts w:hint="eastAsia" w:ascii="仿宋_GB2312" w:eastAsia="仿宋_GB2312"/>
          <w:color w:val="auto"/>
          <w:sz w:val="32"/>
          <w:szCs w:val="32"/>
          <w:lang w:eastAsia="zh-CN"/>
        </w:rPr>
        <w:t>同时完善</w:t>
      </w:r>
      <w:r>
        <w:rPr>
          <w:rFonts w:hint="eastAsia" w:ascii="仿宋_GB2312" w:eastAsia="仿宋_GB2312"/>
          <w:color w:val="auto"/>
          <w:sz w:val="32"/>
          <w:szCs w:val="32"/>
          <w:lang w:val="en-US" w:eastAsia="zh-CN"/>
        </w:rPr>
        <w:t>180多辆</w:t>
      </w:r>
      <w:r>
        <w:rPr>
          <w:rFonts w:hint="eastAsia" w:ascii="仿宋_GB2312" w:eastAsia="仿宋_GB2312"/>
          <w:color w:val="auto"/>
          <w:sz w:val="32"/>
          <w:szCs w:val="32"/>
          <w:lang w:eastAsia="zh-CN"/>
        </w:rPr>
        <w:t>三轮垃圾收集车的分类收集标志。</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eastAsia="仿宋_GB2312"/>
          <w:color w:val="auto"/>
          <w:sz w:val="32"/>
          <w:szCs w:val="32"/>
          <w:lang w:val="en-US" w:eastAsia="zh-CN"/>
        </w:rPr>
      </w:pPr>
      <w:r>
        <w:rPr>
          <w:rFonts w:hint="eastAsia" w:ascii="仿宋_GB2312" w:eastAsia="仿宋_GB2312"/>
          <w:b/>
          <w:bCs/>
          <w:color w:val="auto"/>
          <w:sz w:val="32"/>
          <w:szCs w:val="32"/>
          <w:lang w:val="en-US" w:eastAsia="zh-CN"/>
        </w:rPr>
        <w:t>(3)做好单位办公大院的垃圾分类工作。</w:t>
      </w:r>
      <w:r>
        <w:rPr>
          <w:rFonts w:hint="eastAsia" w:ascii="仿宋_GB2312" w:eastAsia="仿宋_GB2312"/>
          <w:color w:val="auto"/>
          <w:sz w:val="32"/>
          <w:szCs w:val="32"/>
          <w:lang w:val="en-US" w:eastAsia="zh-CN"/>
        </w:rPr>
        <w:t>办公场所按分类要求设有分类桶，可回收物的回收处理有台账记录。</w:t>
      </w:r>
    </w:p>
    <w:p>
      <w:pPr>
        <w:spacing w:line="540" w:lineRule="exact"/>
        <w:ind w:firstLine="643" w:firstLineChars="200"/>
        <w:rPr>
          <w:rFonts w:hint="eastAsia" w:ascii="仿宋_GB2312" w:eastAsia="仿宋_GB2312"/>
          <w:b/>
          <w:bCs/>
          <w:color w:val="auto"/>
          <w:sz w:val="32"/>
          <w:szCs w:val="32"/>
        </w:rPr>
      </w:pPr>
      <w:r>
        <w:rPr>
          <w:rFonts w:hint="eastAsia" w:ascii="仿宋_GB2312" w:eastAsia="仿宋_GB2312"/>
          <w:b/>
          <w:bCs/>
          <w:color w:val="auto"/>
          <w:sz w:val="32"/>
          <w:szCs w:val="32"/>
          <w:lang w:val="en-US" w:eastAsia="zh-CN"/>
        </w:rPr>
        <w:t>8、</w:t>
      </w:r>
      <w:r>
        <w:rPr>
          <w:rFonts w:hint="eastAsia" w:ascii="仿宋_GB2312" w:eastAsia="仿宋_GB2312"/>
          <w:b/>
          <w:bCs/>
          <w:color w:val="auto"/>
          <w:sz w:val="32"/>
          <w:szCs w:val="32"/>
        </w:rPr>
        <w:t>人机配合治理扬尘作业</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坚持以“扫、洗、吸、冲”和雾炮降尘相结合的办法开展道路粉尘污染整治工作，进一步降低城区大气</w:t>
      </w:r>
      <w:r>
        <w:rPr>
          <w:rFonts w:hint="eastAsia" w:ascii="仿宋_GB2312" w:eastAsia="仿宋_GB2312"/>
          <w:b/>
          <w:bCs/>
          <w:color w:val="auto"/>
          <w:sz w:val="32"/>
          <w:szCs w:val="32"/>
          <w:lang w:eastAsia="zh-CN"/>
        </w:rPr>
        <w:t>污染</w:t>
      </w:r>
      <w:r>
        <w:rPr>
          <w:rFonts w:hint="eastAsia" w:ascii="仿宋_GB2312" w:eastAsia="仿宋_GB2312"/>
          <w:b/>
          <w:bCs/>
          <w:color w:val="auto"/>
          <w:sz w:val="32"/>
          <w:szCs w:val="32"/>
        </w:rPr>
        <w:t>PM值。</w:t>
      </w:r>
    </w:p>
    <w:p>
      <w:pPr>
        <w:snapToGrid w:val="0"/>
        <w:spacing w:line="540" w:lineRule="exact"/>
        <w:ind w:firstLine="803" w:firstLineChars="250"/>
        <w:rPr>
          <w:rFonts w:ascii="仿宋_GB2312" w:eastAsia="仿宋_GB2312"/>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1</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城区主次干道每日洒水7次</w:t>
      </w:r>
      <w:r>
        <w:rPr>
          <w:rFonts w:hint="eastAsia" w:ascii="仿宋_GB2312" w:eastAsia="仿宋_GB2312"/>
          <w:b/>
          <w:bCs/>
          <w:color w:val="auto"/>
          <w:sz w:val="32"/>
          <w:szCs w:val="32"/>
          <w:lang w:eastAsia="zh-CN"/>
        </w:rPr>
        <w:t>。</w:t>
      </w:r>
      <w:r>
        <w:rPr>
          <w:rFonts w:hint="eastAsia" w:ascii="仿宋_GB2312" w:hAnsi="Calibri" w:eastAsia="仿宋_GB2312" w:cs="Times New Roman"/>
          <w:color w:val="auto"/>
          <w:sz w:val="32"/>
          <w:szCs w:val="32"/>
          <w:lang w:eastAsia="zh-CN"/>
        </w:rPr>
        <w:t>从早</w:t>
      </w:r>
      <w:r>
        <w:rPr>
          <w:rFonts w:hint="eastAsia" w:ascii="仿宋_GB2312" w:hAnsi="Calibri" w:eastAsia="仿宋_GB2312" w:cs="Times New Roman"/>
          <w:color w:val="auto"/>
          <w:sz w:val="32"/>
          <w:szCs w:val="32"/>
        </w:rPr>
        <w:t>6:00</w:t>
      </w:r>
      <w:r>
        <w:rPr>
          <w:rFonts w:hint="eastAsia" w:ascii="仿宋_GB2312" w:hAnsi="Calibri" w:eastAsia="仿宋_GB2312" w:cs="Times New Roman"/>
          <w:color w:val="auto"/>
          <w:sz w:val="32"/>
          <w:szCs w:val="32"/>
          <w:lang w:eastAsia="zh-CN"/>
        </w:rPr>
        <w:t>时至晚</w:t>
      </w:r>
      <w:r>
        <w:rPr>
          <w:rFonts w:hint="eastAsia" w:ascii="仿宋_GB2312" w:hAnsi="Calibri" w:eastAsia="仿宋_GB2312" w:cs="Times New Roman"/>
          <w:color w:val="auto"/>
          <w:sz w:val="32"/>
          <w:szCs w:val="32"/>
        </w:rPr>
        <w:t>22:00</w:t>
      </w:r>
      <w:r>
        <w:rPr>
          <w:rFonts w:hint="eastAsia" w:ascii="仿宋_GB2312" w:hAnsi="Calibri" w:eastAsia="仿宋_GB2312" w:cs="Times New Roman"/>
          <w:color w:val="auto"/>
          <w:sz w:val="32"/>
          <w:szCs w:val="32"/>
          <w:lang w:eastAsia="zh-CN"/>
        </w:rPr>
        <w:t>时，对建成区进行全</w:t>
      </w:r>
      <w:r>
        <w:rPr>
          <w:rFonts w:hint="eastAsia" w:ascii="仿宋_GB2312" w:hAnsi="Calibri" w:eastAsia="仿宋_GB2312" w:cs="Times New Roman"/>
          <w:color w:val="auto"/>
          <w:sz w:val="32"/>
          <w:szCs w:val="32"/>
        </w:rPr>
        <w:t>覆盖洒水</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西至城西大道入城口</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南经人民厂三角转盘至人民厂大门口</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北至二桥、中山路黄冈学校并延长至河池卫生学校</w:t>
      </w:r>
      <w:r>
        <w:rPr>
          <w:rFonts w:hint="eastAsia" w:ascii="仿宋_GB2312" w:hAnsi="Calibri" w:eastAsia="仿宋_GB2312" w:cs="Times New Roman"/>
          <w:color w:val="auto"/>
          <w:sz w:val="32"/>
          <w:szCs w:val="32"/>
          <w:lang w:eastAsia="zh-CN"/>
        </w:rPr>
        <w:t>，</w:t>
      </w:r>
      <w:r>
        <w:rPr>
          <w:rFonts w:hint="eastAsia" w:ascii="仿宋_GB2312" w:hAnsi="Calibri" w:eastAsia="仿宋_GB2312" w:cs="Times New Roman"/>
          <w:color w:val="auto"/>
          <w:sz w:val="32"/>
          <w:szCs w:val="32"/>
        </w:rPr>
        <w:t>东</w:t>
      </w:r>
      <w:r>
        <w:rPr>
          <w:rFonts w:hint="eastAsia" w:ascii="仿宋_GB2312" w:eastAsia="仿宋_GB2312"/>
          <w:color w:val="auto"/>
          <w:sz w:val="32"/>
          <w:szCs w:val="32"/>
        </w:rPr>
        <w:t>至城东大道市公路局；</w:t>
      </w:r>
      <w:r>
        <w:rPr>
          <w:rFonts w:hint="eastAsia" w:ascii="仿宋_GB2312" w:hAnsi="Calibri" w:eastAsia="仿宋_GB2312" w:cs="Times New Roman"/>
          <w:color w:val="auto"/>
          <w:sz w:val="32"/>
          <w:szCs w:val="32"/>
        </w:rPr>
        <w:t>全力做到中心城区主次干道洒水作业每日7次，并保持每次洒水的质量。</w:t>
      </w:r>
    </w:p>
    <w:p>
      <w:pPr>
        <w:snapToGrid w:val="0"/>
        <w:spacing w:line="540" w:lineRule="exact"/>
        <w:ind w:firstLine="643" w:firstLineChars="200"/>
        <w:rPr>
          <w:rFonts w:ascii="仿宋_GB2312" w:eastAsia="仿宋_GB2312"/>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2</w:t>
      </w:r>
      <w:r>
        <w:rPr>
          <w:rFonts w:hint="eastAsia" w:ascii="仿宋_GB2312" w:eastAsia="仿宋_GB2312"/>
          <w:b/>
          <w:bCs/>
          <w:color w:val="auto"/>
          <w:sz w:val="32"/>
          <w:szCs w:val="32"/>
          <w:lang w:eastAsia="zh-CN"/>
        </w:rPr>
        <w:t>）增加编外线国道线的洒水降尘工作。</w:t>
      </w:r>
      <w:r>
        <w:rPr>
          <w:rFonts w:hint="eastAsia" w:ascii="仿宋_GB2312" w:eastAsia="仿宋_GB2312"/>
          <w:color w:val="auto"/>
          <w:sz w:val="32"/>
          <w:szCs w:val="32"/>
          <w:lang w:eastAsia="zh-CN"/>
        </w:rPr>
        <w:t>为了减缓城区周边国道线粉尘袭城，从</w:t>
      </w:r>
      <w:r>
        <w:rPr>
          <w:rFonts w:hint="eastAsia" w:ascii="仿宋_GB2312" w:eastAsia="仿宋_GB2312"/>
          <w:color w:val="auto"/>
          <w:sz w:val="32"/>
          <w:szCs w:val="32"/>
        </w:rPr>
        <w:t>2020年1月1日起增加了金宜一级公路河池市公路局-东江镇人民政府路段每日</w:t>
      </w:r>
      <w:r>
        <w:rPr>
          <w:rFonts w:hint="eastAsia" w:ascii="仿宋_GB2312" w:eastAsia="仿宋_GB2312"/>
          <w:color w:val="auto"/>
          <w:sz w:val="32"/>
          <w:szCs w:val="32"/>
          <w:lang w:val="en-US" w:eastAsia="zh-CN"/>
        </w:rPr>
        <w:t>3</w:t>
      </w:r>
      <w:r>
        <w:rPr>
          <w:rFonts w:hint="eastAsia" w:ascii="仿宋_GB2312" w:eastAsia="仿宋_GB2312"/>
          <w:color w:val="auto"/>
          <w:sz w:val="32"/>
          <w:szCs w:val="32"/>
        </w:rPr>
        <w:t>次</w:t>
      </w:r>
      <w:r>
        <w:rPr>
          <w:rFonts w:hint="eastAsia" w:ascii="仿宋_GB2312" w:eastAsia="仿宋_GB2312"/>
          <w:color w:val="auto"/>
          <w:sz w:val="32"/>
          <w:szCs w:val="32"/>
          <w:lang w:eastAsia="zh-CN"/>
        </w:rPr>
        <w:t>的</w:t>
      </w:r>
      <w:r>
        <w:rPr>
          <w:rFonts w:hint="eastAsia" w:ascii="仿宋_GB2312" w:eastAsia="仿宋_GB2312"/>
          <w:color w:val="auto"/>
          <w:sz w:val="32"/>
          <w:szCs w:val="32"/>
        </w:rPr>
        <w:t>洒水</w:t>
      </w:r>
      <w:r>
        <w:rPr>
          <w:rFonts w:hint="eastAsia" w:ascii="仿宋_GB2312" w:eastAsia="仿宋_GB2312"/>
          <w:color w:val="auto"/>
          <w:sz w:val="32"/>
          <w:szCs w:val="32"/>
          <w:lang w:eastAsia="zh-CN"/>
        </w:rPr>
        <w:t>作业。</w:t>
      </w:r>
    </w:p>
    <w:p>
      <w:pPr>
        <w:spacing w:line="560" w:lineRule="exact"/>
        <w:ind w:firstLine="646"/>
        <w:rPr>
          <w:rFonts w:ascii="仿宋_GB2312" w:hAnsi="仿宋" w:eastAsia="仿宋_GB2312"/>
          <w:color w:val="auto"/>
          <w:spacing w:val="8"/>
          <w:sz w:val="32"/>
          <w:szCs w:val="32"/>
          <w:shd w:val="clear" w:color="auto" w:fill="FFFFFF"/>
        </w:rPr>
      </w:pPr>
      <w:r>
        <w:rPr>
          <w:rFonts w:hint="eastAsia" w:ascii="仿宋_GB2312" w:hAnsi="仿宋" w:eastAsia="仿宋_GB2312"/>
          <w:b/>
          <w:bCs/>
          <w:color w:val="auto"/>
          <w:sz w:val="32"/>
          <w:szCs w:val="32"/>
          <w:lang w:eastAsia="zh-CN"/>
        </w:rPr>
        <w:t>（</w:t>
      </w:r>
      <w:r>
        <w:rPr>
          <w:rFonts w:hint="eastAsia" w:ascii="仿宋_GB2312" w:hAnsi="仿宋" w:eastAsia="仿宋_GB2312"/>
          <w:b/>
          <w:bCs/>
          <w:color w:val="auto"/>
          <w:sz w:val="32"/>
          <w:szCs w:val="32"/>
          <w:lang w:val="en-US" w:eastAsia="zh-CN"/>
        </w:rPr>
        <w:t>3</w:t>
      </w:r>
      <w:r>
        <w:rPr>
          <w:rFonts w:hint="eastAsia" w:ascii="仿宋_GB2312" w:hAnsi="仿宋" w:eastAsia="仿宋_GB2312"/>
          <w:b/>
          <w:bCs/>
          <w:color w:val="auto"/>
          <w:sz w:val="32"/>
          <w:szCs w:val="32"/>
          <w:lang w:eastAsia="zh-CN"/>
        </w:rPr>
        <w:t>）做好大汽污染红色预警的整治工作。</w:t>
      </w:r>
      <w:r>
        <w:rPr>
          <w:rFonts w:hint="eastAsia" w:ascii="仿宋_GB2312" w:hAnsi="仿宋" w:eastAsia="仿宋_GB2312"/>
          <w:color w:val="auto"/>
          <w:sz w:val="32"/>
          <w:szCs w:val="32"/>
        </w:rPr>
        <w:t>2020年2月20日启动河池市金城江城区大气污染红色预警后，我处在原来洒水次数不</w:t>
      </w:r>
      <w:r>
        <w:rPr>
          <w:rFonts w:hint="eastAsia" w:ascii="仿宋_GB2312" w:hAnsi="仿宋" w:eastAsia="仿宋_GB2312"/>
          <w:color w:val="auto"/>
          <w:sz w:val="32"/>
          <w:szCs w:val="32"/>
          <w:lang w:eastAsia="zh-CN"/>
        </w:rPr>
        <w:t>变</w:t>
      </w:r>
      <w:r>
        <w:rPr>
          <w:rFonts w:hint="eastAsia" w:ascii="仿宋_GB2312" w:hAnsi="仿宋" w:eastAsia="仿宋_GB2312"/>
          <w:color w:val="auto"/>
          <w:sz w:val="32"/>
          <w:szCs w:val="32"/>
        </w:rPr>
        <w:t>的基础上，</w:t>
      </w:r>
      <w:r>
        <w:rPr>
          <w:rFonts w:hint="eastAsia" w:ascii="仿宋_GB2312" w:hAnsi="仿宋" w:eastAsia="仿宋_GB2312"/>
          <w:color w:val="auto"/>
          <w:spacing w:val="8"/>
          <w:sz w:val="32"/>
          <w:szCs w:val="32"/>
          <w:shd w:val="clear" w:color="auto" w:fill="FFFFFF"/>
        </w:rPr>
        <w:t>每天增加</w:t>
      </w:r>
      <w:r>
        <w:rPr>
          <w:rFonts w:hint="eastAsia" w:ascii="仿宋_GB2312" w:hAnsi="仿宋" w:eastAsia="仿宋_GB2312"/>
          <w:color w:val="auto"/>
          <w:sz w:val="32"/>
          <w:szCs w:val="32"/>
        </w:rPr>
        <w:t>金城西路、城西路、金光路、中山路</w:t>
      </w:r>
      <w:r>
        <w:rPr>
          <w:rFonts w:hint="eastAsia" w:ascii="仿宋_GB2312" w:hAnsi="仿宋" w:eastAsia="仿宋_GB2312"/>
          <w:color w:val="auto"/>
          <w:spacing w:val="8"/>
          <w:sz w:val="32"/>
          <w:szCs w:val="32"/>
          <w:shd w:val="clear" w:color="auto" w:fill="FFFFFF"/>
        </w:rPr>
        <w:t>洒水2次，达到每日洒水9次；雾炮降尘在原来的基础上延长喷水时间3个小</w:t>
      </w:r>
      <w:r>
        <w:rPr>
          <w:rFonts w:hint="eastAsia" w:ascii="仿宋_GB2312" w:hAnsi="仿宋" w:eastAsia="仿宋_GB2312"/>
          <w:color w:val="auto"/>
          <w:spacing w:val="8"/>
          <w:sz w:val="32"/>
          <w:szCs w:val="32"/>
          <w:shd w:val="clear" w:color="auto" w:fill="FFFFFF"/>
          <w:lang w:eastAsia="zh-CN"/>
        </w:rPr>
        <w:t>时</w:t>
      </w:r>
      <w:r>
        <w:rPr>
          <w:rFonts w:hint="eastAsia" w:ascii="仿宋_GB2312" w:hAnsi="仿宋" w:eastAsia="仿宋_GB2312"/>
          <w:color w:val="auto"/>
          <w:spacing w:val="8"/>
          <w:sz w:val="32"/>
          <w:szCs w:val="32"/>
          <w:shd w:val="clear" w:color="auto" w:fill="FFFFFF"/>
        </w:rPr>
        <w:t>22吨水；人工冲洗增加一个班次，达到每日3个班次；主次干道机械化</w:t>
      </w:r>
      <w:r>
        <w:rPr>
          <w:rFonts w:hint="eastAsia" w:ascii="仿宋_GB2312" w:hAnsi="仿宋" w:eastAsia="仿宋_GB2312"/>
          <w:color w:val="auto"/>
          <w:spacing w:val="8"/>
          <w:sz w:val="32"/>
          <w:szCs w:val="32"/>
          <w:shd w:val="clear" w:color="auto" w:fill="FFFFFF"/>
          <w:lang w:eastAsia="zh-CN"/>
        </w:rPr>
        <w:t>洗</w:t>
      </w:r>
      <w:r>
        <w:rPr>
          <w:rFonts w:hint="eastAsia" w:ascii="仿宋_GB2312" w:hAnsi="仿宋" w:eastAsia="仿宋_GB2312"/>
          <w:color w:val="auto"/>
          <w:spacing w:val="8"/>
          <w:sz w:val="32"/>
          <w:szCs w:val="32"/>
          <w:shd w:val="clear" w:color="auto" w:fill="FFFFFF"/>
        </w:rPr>
        <w:t>扫每天增加4个班次，增加喷水量22吨。有效抑制城市重点区域扬尘污染。</w:t>
      </w:r>
    </w:p>
    <w:p>
      <w:pPr>
        <w:snapToGrid w:val="0"/>
        <w:spacing w:line="540" w:lineRule="exact"/>
        <w:ind w:firstLine="643" w:firstLineChars="200"/>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b/>
          <w:bCs/>
          <w:color w:val="auto"/>
          <w:sz w:val="32"/>
          <w:szCs w:val="32"/>
          <w:lang w:eastAsia="zh-CN"/>
        </w:rPr>
        <w:t>（</w:t>
      </w:r>
      <w:r>
        <w:rPr>
          <w:rFonts w:hint="eastAsia" w:ascii="仿宋_GB2312" w:hAnsi="Calibri" w:eastAsia="仿宋_GB2312" w:cs="Times New Roman"/>
          <w:b/>
          <w:bCs/>
          <w:color w:val="auto"/>
          <w:sz w:val="32"/>
          <w:szCs w:val="32"/>
          <w:lang w:val="en-US" w:eastAsia="zh-CN"/>
        </w:rPr>
        <w:t>4</w:t>
      </w:r>
      <w:r>
        <w:rPr>
          <w:rFonts w:hint="eastAsia" w:ascii="仿宋_GB2312" w:hAnsi="Calibri" w:eastAsia="仿宋_GB2312" w:cs="Times New Roman"/>
          <w:b/>
          <w:bCs/>
          <w:color w:val="auto"/>
          <w:sz w:val="32"/>
          <w:szCs w:val="32"/>
          <w:lang w:eastAsia="zh-CN"/>
        </w:rPr>
        <w:t>）</w:t>
      </w:r>
      <w:r>
        <w:rPr>
          <w:rFonts w:hint="eastAsia" w:ascii="仿宋_GB2312" w:hAnsi="Calibri" w:eastAsia="仿宋_GB2312" w:cs="Times New Roman"/>
          <w:b/>
          <w:bCs/>
          <w:color w:val="auto"/>
          <w:sz w:val="32"/>
          <w:szCs w:val="32"/>
        </w:rPr>
        <w:t>常态化开展道路人工冲洗</w:t>
      </w:r>
      <w:r>
        <w:rPr>
          <w:rFonts w:hint="eastAsia" w:ascii="仿宋_GB2312" w:hAnsi="Calibri" w:eastAsia="仿宋_GB2312" w:cs="Times New Roman"/>
          <w:b/>
          <w:bCs/>
          <w:color w:val="auto"/>
          <w:sz w:val="32"/>
          <w:szCs w:val="32"/>
          <w:lang w:eastAsia="zh-CN"/>
        </w:rPr>
        <w:t>。</w:t>
      </w:r>
      <w:r>
        <w:rPr>
          <w:rFonts w:hint="eastAsia" w:ascii="仿宋_GB2312" w:hAnsi="Calibri" w:eastAsia="仿宋_GB2312" w:cs="Times New Roman"/>
          <w:color w:val="auto"/>
          <w:sz w:val="32"/>
          <w:szCs w:val="32"/>
        </w:rPr>
        <w:t>主干道人工冲洗作业月冲洗</w:t>
      </w:r>
      <w:r>
        <w:rPr>
          <w:rFonts w:hint="eastAsia" w:ascii="仿宋_GB2312" w:eastAsia="仿宋_GB2312"/>
          <w:color w:val="auto"/>
          <w:sz w:val="32"/>
          <w:szCs w:val="32"/>
        </w:rPr>
        <w:t>3</w:t>
      </w:r>
      <w:r>
        <w:rPr>
          <w:rFonts w:hint="eastAsia" w:ascii="仿宋_GB2312" w:hAnsi="Calibri" w:eastAsia="仿宋_GB2312" w:cs="Times New Roman"/>
          <w:color w:val="auto"/>
          <w:sz w:val="32"/>
          <w:szCs w:val="32"/>
        </w:rPr>
        <w:t>次</w:t>
      </w:r>
      <w:r>
        <w:rPr>
          <w:rFonts w:hint="eastAsia" w:ascii="仿宋_GB2312" w:eastAsia="仿宋_GB2312"/>
          <w:color w:val="auto"/>
          <w:sz w:val="32"/>
          <w:szCs w:val="32"/>
        </w:rPr>
        <w:t>以上，中山路、城东大道等扬尘</w:t>
      </w:r>
      <w:r>
        <w:rPr>
          <w:rFonts w:hint="eastAsia" w:ascii="仿宋_GB2312" w:eastAsia="仿宋_GB2312"/>
          <w:color w:val="auto"/>
          <w:sz w:val="32"/>
          <w:szCs w:val="32"/>
          <w:lang w:eastAsia="zh-CN"/>
        </w:rPr>
        <w:t>严</w:t>
      </w:r>
      <w:r>
        <w:rPr>
          <w:rFonts w:hint="eastAsia" w:ascii="仿宋_GB2312" w:eastAsia="仿宋_GB2312"/>
          <w:color w:val="auto"/>
          <w:sz w:val="32"/>
          <w:szCs w:val="32"/>
        </w:rPr>
        <w:t>重路段人工冲洗达8次，</w:t>
      </w:r>
      <w:r>
        <w:rPr>
          <w:rFonts w:hint="eastAsia" w:ascii="仿宋_GB2312" w:eastAsia="仿宋_GB2312"/>
          <w:color w:val="auto"/>
          <w:sz w:val="32"/>
          <w:szCs w:val="32"/>
          <w:lang w:eastAsia="zh-CN"/>
        </w:rPr>
        <w:t>逢</w:t>
      </w:r>
      <w:r>
        <w:rPr>
          <w:rFonts w:hint="eastAsia" w:ascii="仿宋_GB2312" w:hAnsi="Calibri" w:eastAsia="仿宋_GB2312" w:cs="Times New Roman"/>
          <w:color w:val="auto"/>
          <w:sz w:val="32"/>
          <w:szCs w:val="32"/>
        </w:rPr>
        <w:t>雨天利用竹扫把</w:t>
      </w:r>
      <w:r>
        <w:rPr>
          <w:rFonts w:hint="eastAsia" w:ascii="仿宋_GB2312" w:hAnsi="Calibri" w:eastAsia="仿宋_GB2312" w:cs="Times New Roman"/>
          <w:color w:val="auto"/>
          <w:sz w:val="32"/>
          <w:szCs w:val="32"/>
          <w:lang w:eastAsia="zh-CN"/>
        </w:rPr>
        <w:t>和着雨水</w:t>
      </w:r>
      <w:r>
        <w:rPr>
          <w:rFonts w:hint="eastAsia" w:ascii="仿宋_GB2312" w:hAnsi="Calibri" w:eastAsia="仿宋_GB2312" w:cs="Times New Roman"/>
          <w:color w:val="auto"/>
          <w:sz w:val="32"/>
          <w:szCs w:val="32"/>
        </w:rPr>
        <w:t>刷</w:t>
      </w:r>
      <w:r>
        <w:rPr>
          <w:rFonts w:hint="eastAsia" w:ascii="仿宋_GB2312" w:hAnsi="Calibri" w:eastAsia="仿宋_GB2312" w:cs="Times New Roman"/>
          <w:color w:val="auto"/>
          <w:sz w:val="32"/>
          <w:szCs w:val="32"/>
          <w:lang w:eastAsia="zh-CN"/>
        </w:rPr>
        <w:t>洗</w:t>
      </w:r>
      <w:r>
        <w:rPr>
          <w:rFonts w:hint="eastAsia" w:ascii="仿宋_GB2312" w:hAnsi="Calibri" w:eastAsia="仿宋_GB2312" w:cs="Times New Roman"/>
          <w:color w:val="auto"/>
          <w:sz w:val="32"/>
          <w:szCs w:val="32"/>
        </w:rPr>
        <w:t>路面及人行道粉尘，达到消除粉尘的效果。及时处理临时、突发性道路污染</w:t>
      </w:r>
      <w:r>
        <w:rPr>
          <w:rFonts w:hint="eastAsia" w:ascii="仿宋_GB2312" w:hAnsi="Calibri" w:eastAsia="仿宋_GB2312" w:cs="Times New Roman"/>
          <w:color w:val="auto"/>
          <w:sz w:val="32"/>
          <w:szCs w:val="32"/>
          <w:lang w:eastAsia="zh-CN"/>
        </w:rPr>
        <w:t>事件</w:t>
      </w:r>
      <w:r>
        <w:rPr>
          <w:rFonts w:hint="eastAsia" w:ascii="仿宋_GB2312" w:eastAsia="仿宋_GB2312"/>
          <w:color w:val="auto"/>
          <w:sz w:val="32"/>
          <w:szCs w:val="32"/>
        </w:rPr>
        <w:t>，</w:t>
      </w:r>
      <w:r>
        <w:rPr>
          <w:rFonts w:hint="eastAsia" w:ascii="仿宋_GB2312" w:eastAsia="仿宋_GB2312"/>
          <w:color w:val="auto"/>
          <w:sz w:val="32"/>
          <w:szCs w:val="32"/>
          <w:lang w:eastAsia="zh-CN"/>
        </w:rPr>
        <w:t>最严重的为</w:t>
      </w:r>
      <w:r>
        <w:rPr>
          <w:rFonts w:hint="eastAsia" w:ascii="仿宋_GB2312" w:eastAsia="仿宋_GB2312"/>
          <w:color w:val="auto"/>
          <w:sz w:val="32"/>
          <w:szCs w:val="32"/>
        </w:rPr>
        <w:t>西环路二桥至老街红绿灯路段，运砂车辆撒落石砂</w:t>
      </w:r>
      <w:r>
        <w:rPr>
          <w:rFonts w:hint="eastAsia" w:ascii="仿宋_GB2312" w:eastAsia="仿宋_GB2312"/>
          <w:color w:val="auto"/>
          <w:sz w:val="32"/>
          <w:szCs w:val="32"/>
          <w:lang w:eastAsia="zh-CN"/>
        </w:rPr>
        <w:t>严重</w:t>
      </w:r>
      <w:r>
        <w:rPr>
          <w:rFonts w:hint="eastAsia" w:ascii="仿宋_GB2312" w:eastAsia="仿宋_GB2312"/>
          <w:color w:val="auto"/>
          <w:sz w:val="32"/>
          <w:szCs w:val="32"/>
        </w:rPr>
        <w:t>，</w:t>
      </w:r>
      <w:r>
        <w:rPr>
          <w:rFonts w:hint="eastAsia" w:ascii="仿宋_GB2312" w:eastAsia="仿宋_GB2312"/>
          <w:color w:val="auto"/>
          <w:sz w:val="32"/>
          <w:szCs w:val="32"/>
          <w:lang w:eastAsia="zh-CN"/>
        </w:rPr>
        <w:t>为</w:t>
      </w:r>
      <w:r>
        <w:rPr>
          <w:rFonts w:hint="eastAsia" w:ascii="仿宋_GB2312" w:eastAsia="仿宋_GB2312"/>
          <w:color w:val="auto"/>
          <w:sz w:val="32"/>
          <w:szCs w:val="32"/>
        </w:rPr>
        <w:t>了</w:t>
      </w:r>
      <w:r>
        <w:rPr>
          <w:rFonts w:hint="eastAsia" w:ascii="仿宋_GB2312" w:eastAsia="仿宋_GB2312"/>
          <w:color w:val="auto"/>
          <w:sz w:val="32"/>
          <w:szCs w:val="32"/>
          <w:lang w:eastAsia="zh-CN"/>
        </w:rPr>
        <w:t>减缓新增</w:t>
      </w:r>
      <w:r>
        <w:rPr>
          <w:rFonts w:hint="eastAsia" w:ascii="仿宋_GB2312" w:eastAsia="仿宋_GB2312"/>
          <w:color w:val="auto"/>
          <w:sz w:val="32"/>
          <w:szCs w:val="32"/>
        </w:rPr>
        <w:t>粉尘</w:t>
      </w:r>
      <w:r>
        <w:rPr>
          <w:rFonts w:hint="eastAsia" w:ascii="仿宋_GB2312" w:eastAsia="仿宋_GB2312"/>
          <w:color w:val="auto"/>
          <w:sz w:val="32"/>
          <w:szCs w:val="32"/>
          <w:lang w:eastAsia="zh-CN"/>
        </w:rPr>
        <w:t>，我处即发现即清理</w:t>
      </w:r>
      <w:r>
        <w:rPr>
          <w:rFonts w:hint="eastAsia" w:ascii="仿宋_GB2312" w:eastAsia="仿宋_GB2312"/>
          <w:color w:val="auto"/>
          <w:sz w:val="32"/>
          <w:szCs w:val="32"/>
        </w:rPr>
        <w:t>。月</w:t>
      </w:r>
      <w:r>
        <w:rPr>
          <w:rFonts w:hint="eastAsia" w:ascii="仿宋_GB2312" w:eastAsia="仿宋_GB2312"/>
          <w:color w:val="auto"/>
          <w:sz w:val="32"/>
          <w:szCs w:val="32"/>
          <w:lang w:eastAsia="zh-CN"/>
        </w:rPr>
        <w:t>均</w:t>
      </w:r>
      <w:r>
        <w:rPr>
          <w:rFonts w:hint="eastAsia" w:ascii="仿宋_GB2312" w:hAnsi="Calibri" w:eastAsia="仿宋_GB2312" w:cs="Times New Roman"/>
          <w:color w:val="auto"/>
          <w:sz w:val="32"/>
          <w:szCs w:val="32"/>
        </w:rPr>
        <w:t>开展人工冲洗作业</w:t>
      </w:r>
      <w:r>
        <w:rPr>
          <w:rFonts w:hint="eastAsia" w:ascii="仿宋_GB2312" w:eastAsia="仿宋_GB2312"/>
          <w:color w:val="auto"/>
          <w:sz w:val="32"/>
          <w:szCs w:val="32"/>
        </w:rPr>
        <w:t>达90</w:t>
      </w:r>
      <w:r>
        <w:rPr>
          <w:rFonts w:hint="eastAsia" w:ascii="仿宋_GB2312" w:hAnsi="Calibri" w:eastAsia="仿宋_GB2312" w:cs="Times New Roman"/>
          <w:color w:val="auto"/>
          <w:sz w:val="32"/>
          <w:szCs w:val="32"/>
        </w:rPr>
        <w:t>个班次、年</w:t>
      </w:r>
      <w:r>
        <w:rPr>
          <w:rFonts w:hint="eastAsia" w:ascii="仿宋_GB2312" w:hAnsi="Calibri" w:eastAsia="仿宋_GB2312" w:cs="Times New Roman"/>
          <w:color w:val="auto"/>
          <w:sz w:val="32"/>
          <w:szCs w:val="32"/>
          <w:lang w:eastAsia="zh-CN"/>
        </w:rPr>
        <w:t>均于</w:t>
      </w:r>
      <w:r>
        <w:rPr>
          <w:rFonts w:hint="eastAsia" w:ascii="仿宋_GB2312" w:hAnsi="Calibri" w:eastAsia="仿宋_GB2312" w:cs="Times New Roman"/>
          <w:color w:val="auto"/>
          <w:sz w:val="32"/>
          <w:szCs w:val="32"/>
        </w:rPr>
        <w:t>雨天刷洗</w:t>
      </w:r>
      <w:r>
        <w:rPr>
          <w:rFonts w:hint="eastAsia" w:ascii="仿宋_GB2312" w:hAnsi="Calibri" w:eastAsia="仿宋_GB2312" w:cs="Times New Roman"/>
          <w:color w:val="auto"/>
          <w:sz w:val="32"/>
          <w:szCs w:val="32"/>
          <w:lang w:eastAsia="zh-CN"/>
        </w:rPr>
        <w:t>扫</w:t>
      </w:r>
      <w:r>
        <w:rPr>
          <w:rFonts w:hint="eastAsia" w:ascii="仿宋_GB2312" w:hAnsi="Calibri" w:eastAsia="仿宋_GB2312" w:cs="Times New Roman"/>
          <w:color w:val="auto"/>
          <w:sz w:val="32"/>
          <w:szCs w:val="32"/>
        </w:rPr>
        <w:t>粉尘达3</w:t>
      </w:r>
      <w:r>
        <w:rPr>
          <w:rFonts w:hint="eastAsia" w:ascii="仿宋_GB2312" w:eastAsia="仿宋_GB2312"/>
          <w:color w:val="auto"/>
          <w:sz w:val="32"/>
          <w:szCs w:val="32"/>
        </w:rPr>
        <w:t>8</w:t>
      </w:r>
      <w:r>
        <w:rPr>
          <w:rFonts w:hint="eastAsia" w:ascii="仿宋_GB2312" w:hAnsi="Calibri" w:eastAsia="仿宋_GB2312" w:cs="Times New Roman"/>
          <w:color w:val="auto"/>
          <w:sz w:val="32"/>
          <w:szCs w:val="32"/>
        </w:rPr>
        <w:t>次、</w:t>
      </w:r>
      <w:r>
        <w:rPr>
          <w:rFonts w:hint="eastAsia" w:ascii="仿宋_GB2312" w:hAnsi="Calibri" w:eastAsia="仿宋_GB2312" w:cs="Times New Roman"/>
          <w:color w:val="auto"/>
          <w:sz w:val="32"/>
          <w:szCs w:val="32"/>
          <w:lang w:eastAsia="zh-CN"/>
        </w:rPr>
        <w:t>应急</w:t>
      </w:r>
      <w:r>
        <w:rPr>
          <w:rFonts w:hint="eastAsia" w:ascii="仿宋_GB2312" w:hAnsi="Calibri" w:eastAsia="仿宋_GB2312" w:cs="Times New Roman"/>
          <w:color w:val="auto"/>
          <w:sz w:val="32"/>
          <w:szCs w:val="32"/>
        </w:rPr>
        <w:t>冲洗被污染道路</w:t>
      </w:r>
      <w:r>
        <w:rPr>
          <w:rFonts w:hint="eastAsia" w:ascii="仿宋_GB2312" w:hAnsi="Calibri" w:eastAsia="仿宋_GB2312" w:cs="Times New Roman"/>
          <w:color w:val="auto"/>
          <w:sz w:val="32"/>
          <w:szCs w:val="32"/>
          <w:lang w:val="en-US" w:eastAsia="zh-CN"/>
        </w:rPr>
        <w:t>100多次</w:t>
      </w:r>
      <w:r>
        <w:rPr>
          <w:rFonts w:hint="eastAsia" w:ascii="仿宋_GB2312" w:hAnsi="Calibri" w:eastAsia="仿宋_GB2312" w:cs="Times New Roman"/>
          <w:color w:val="auto"/>
          <w:sz w:val="32"/>
          <w:szCs w:val="32"/>
        </w:rPr>
        <w:t>。</w:t>
      </w:r>
      <w:r>
        <w:rPr>
          <w:rFonts w:hint="eastAsia" w:ascii="仿宋_GB2312" w:hAnsi="Calibri" w:eastAsia="仿宋_GB2312" w:cs="Times New Roman"/>
          <w:color w:val="auto"/>
          <w:sz w:val="32"/>
          <w:szCs w:val="32"/>
          <w:lang w:eastAsia="zh-CN"/>
        </w:rPr>
        <w:t>还原路面本色，减少扬尘污染。</w:t>
      </w:r>
    </w:p>
    <w:p>
      <w:pPr>
        <w:snapToGrid w:val="0"/>
        <w:spacing w:line="540" w:lineRule="exact"/>
        <w:ind w:firstLine="643" w:firstLineChars="200"/>
        <w:rPr>
          <w:rFonts w:hint="eastAsia" w:ascii="仿宋_GB2312" w:eastAsia="仿宋_GB2312"/>
          <w:color w:val="auto"/>
          <w:sz w:val="32"/>
          <w:szCs w:val="32"/>
        </w:rPr>
      </w:pPr>
      <w:r>
        <w:rPr>
          <w:rFonts w:hint="eastAsia" w:ascii="仿宋_GB2312" w:eastAsia="仿宋_GB2312"/>
          <w:b/>
          <w:bCs/>
          <w:color w:val="auto"/>
          <w:sz w:val="32"/>
          <w:szCs w:val="32"/>
          <w:lang w:eastAsia="zh-CN"/>
        </w:rPr>
        <w:t>（</w:t>
      </w:r>
      <w:r>
        <w:rPr>
          <w:rFonts w:hint="eastAsia" w:ascii="仿宋_GB2312" w:eastAsia="仿宋_GB2312"/>
          <w:b/>
          <w:bCs/>
          <w:color w:val="auto"/>
          <w:sz w:val="32"/>
          <w:szCs w:val="32"/>
          <w:lang w:val="en-US" w:eastAsia="zh-CN"/>
        </w:rPr>
        <w:t>5</w:t>
      </w:r>
      <w:r>
        <w:rPr>
          <w:rFonts w:hint="eastAsia" w:ascii="仿宋_GB2312" w:eastAsia="仿宋_GB2312"/>
          <w:b/>
          <w:bCs/>
          <w:color w:val="auto"/>
          <w:sz w:val="32"/>
          <w:szCs w:val="32"/>
          <w:lang w:eastAsia="zh-CN"/>
        </w:rPr>
        <w:t>）</w:t>
      </w:r>
      <w:r>
        <w:rPr>
          <w:rFonts w:hint="eastAsia" w:ascii="仿宋_GB2312" w:eastAsia="仿宋_GB2312"/>
          <w:b/>
          <w:bCs/>
          <w:color w:val="auto"/>
          <w:sz w:val="32"/>
          <w:szCs w:val="32"/>
        </w:rPr>
        <w:t>常态化开展雾炮作业</w:t>
      </w:r>
      <w:r>
        <w:rPr>
          <w:rFonts w:hint="eastAsia" w:ascii="仿宋_GB2312" w:eastAsia="仿宋_GB2312"/>
          <w:color w:val="auto"/>
          <w:sz w:val="32"/>
          <w:szCs w:val="32"/>
          <w:lang w:eastAsia="zh-CN"/>
        </w:rPr>
        <w:t>。</w:t>
      </w:r>
      <w:r>
        <w:rPr>
          <w:rFonts w:hint="eastAsia" w:ascii="仿宋_GB2312" w:eastAsia="仿宋_GB2312"/>
          <w:color w:val="auto"/>
          <w:sz w:val="32"/>
          <w:szCs w:val="32"/>
        </w:rPr>
        <w:t>通过雾炮</w:t>
      </w:r>
      <w:r>
        <w:rPr>
          <w:rFonts w:hint="eastAsia" w:ascii="仿宋_GB2312" w:eastAsia="仿宋_GB2312"/>
          <w:color w:val="auto"/>
          <w:sz w:val="32"/>
          <w:szCs w:val="32"/>
          <w:lang w:eastAsia="zh-CN"/>
        </w:rPr>
        <w:t>降尘</w:t>
      </w:r>
      <w:r>
        <w:rPr>
          <w:rFonts w:hint="eastAsia" w:eastAsia="仿宋_GB2312"/>
          <w:color w:val="auto"/>
          <w:sz w:val="32"/>
          <w:szCs w:val="32"/>
        </w:rPr>
        <w:t>，将漂浮在</w:t>
      </w:r>
      <w:r>
        <w:rPr>
          <w:rFonts w:hint="eastAsia" w:ascii="仿宋_GB2312" w:eastAsia="仿宋_GB2312"/>
          <w:color w:val="auto"/>
          <w:sz w:val="32"/>
          <w:szCs w:val="32"/>
        </w:rPr>
        <w:t>空气中的污染颗粒迅速逼降地面，净化空气。每日安排一个班次在整个城区巡回雾炮，在污染严重路段实行定点雾炮。</w:t>
      </w:r>
    </w:p>
    <w:p>
      <w:pPr>
        <w:pStyle w:val="10"/>
        <w:numPr>
          <w:ilvl w:val="0"/>
          <w:numId w:val="0"/>
        </w:numPr>
        <w:ind w:firstLine="643" w:firstLineChars="200"/>
        <w:rPr>
          <w:rFonts w:hint="eastAsia" w:ascii="仿宋_GB2312" w:hAnsi="Calibri" w:eastAsia="仿宋_GB2312" w:cs="Times New Roman"/>
          <w:b/>
          <w:bCs/>
          <w:color w:val="auto"/>
          <w:sz w:val="32"/>
          <w:szCs w:val="32"/>
          <w:lang w:val="en-US" w:eastAsia="zh-CN"/>
        </w:rPr>
      </w:pPr>
      <w:r>
        <w:rPr>
          <w:rFonts w:hint="eastAsia" w:ascii="仿宋_GB2312" w:hAnsi="Calibri" w:eastAsia="仿宋_GB2312" w:cs="Times New Roman"/>
          <w:b/>
          <w:bCs/>
          <w:color w:val="auto"/>
          <w:sz w:val="32"/>
          <w:szCs w:val="32"/>
          <w:lang w:val="en-US" w:eastAsia="zh-CN"/>
        </w:rPr>
        <w:t>9、公厕管理步入正轨</w:t>
      </w:r>
    </w:p>
    <w:p>
      <w:pPr>
        <w:pStyle w:val="10"/>
        <w:numPr>
          <w:ilvl w:val="0"/>
          <w:numId w:val="0"/>
        </w:numPr>
        <w:ind w:firstLine="640"/>
        <w:rPr>
          <w:rFonts w:hint="eastAsia" w:ascii="仿宋_GB2312" w:eastAsia="仿宋_GB2312"/>
          <w:color w:val="auto"/>
          <w:sz w:val="32"/>
          <w:szCs w:val="32"/>
        </w:rPr>
      </w:pPr>
      <w:r>
        <w:rPr>
          <w:rFonts w:hint="eastAsia" w:ascii="仿宋_GB2312" w:eastAsia="仿宋_GB2312"/>
          <w:color w:val="auto"/>
          <w:sz w:val="32"/>
          <w:szCs w:val="32"/>
        </w:rPr>
        <w:t>2020年管理城区（金城江区）市政公厕2</w:t>
      </w:r>
      <w:r>
        <w:rPr>
          <w:rFonts w:hint="eastAsia" w:ascii="仿宋_GB2312" w:eastAsia="仿宋_GB2312"/>
          <w:color w:val="auto"/>
          <w:sz w:val="32"/>
          <w:szCs w:val="32"/>
          <w:lang w:val="en-US" w:eastAsia="zh-CN"/>
        </w:rPr>
        <w:t>6</w:t>
      </w:r>
      <w:r>
        <w:rPr>
          <w:rFonts w:hint="eastAsia" w:ascii="仿宋_GB2312" w:eastAsia="仿宋_GB2312"/>
          <w:color w:val="auto"/>
          <w:sz w:val="32"/>
          <w:szCs w:val="32"/>
        </w:rPr>
        <w:t>座，每个市政公厕均有专人维护管理，并有专职检查人员每天对市政公厕的设施运行、卫生管理状况进行监督检查，对公厕破损的设施、设备及时进行维护更换。2020年至11月份，共维修公厕龙头、冲水设施、门等及清淤疏阻共计280多件次。</w:t>
      </w:r>
      <w:r>
        <w:rPr>
          <w:rFonts w:hint="eastAsia" w:ascii="仿宋_GB2312" w:eastAsia="仿宋_GB2312"/>
          <w:color w:val="auto"/>
          <w:sz w:val="32"/>
          <w:szCs w:val="32"/>
          <w:lang w:eastAsia="zh-CN"/>
        </w:rPr>
        <w:t>年初突致的新冠疫情，根据疫情风险等级情况，对全部市政公厕采取相应等级的消杀工作，并提供免费厕纸、洗手液等如厕物品。</w:t>
      </w:r>
      <w:r>
        <w:rPr>
          <w:rFonts w:hint="eastAsia" w:ascii="仿宋_GB2312" w:eastAsia="仿宋_GB2312"/>
          <w:color w:val="auto"/>
          <w:sz w:val="32"/>
          <w:szCs w:val="32"/>
        </w:rPr>
        <w:t>通过长效管理机制，确保了市政公厕的正常运转及干净整洁的入厕环境。2020年，为创建自治区文明城市及迎接自治区卫生城市复审工作，除加强市政公厕卫生管理外，城区主要市政公厕均安装了灭蝇灯，增设了12块公厕指示牌，按要求每个市政公厕均设置了文明用语广告。</w:t>
      </w:r>
    </w:p>
    <w:p>
      <w:pPr>
        <w:numPr>
          <w:ilvl w:val="0"/>
          <w:numId w:val="0"/>
        </w:numPr>
        <w:ind w:firstLine="640" w:firstLineChars="200"/>
        <w:rPr>
          <w:rFonts w:hint="eastAsia" w:ascii="仿宋_GB2312" w:hAnsi="黑体" w:eastAsia="仿宋_GB2312"/>
          <w:b/>
          <w:color w:val="auto"/>
          <w:sz w:val="32"/>
          <w:szCs w:val="32"/>
        </w:rPr>
      </w:pPr>
      <w:r>
        <w:rPr>
          <w:rFonts w:hint="eastAsia" w:ascii="仿宋_GB2312" w:eastAsia="仿宋_GB2312"/>
          <w:color w:val="auto"/>
          <w:sz w:val="32"/>
          <w:szCs w:val="32"/>
          <w:lang w:val="en-US" w:eastAsia="zh-CN"/>
        </w:rPr>
        <w:t>10、</w:t>
      </w:r>
      <w:r>
        <w:rPr>
          <w:rFonts w:hint="eastAsia" w:ascii="仿宋_GB2312" w:hAnsi="黑体" w:eastAsia="仿宋_GB2312"/>
          <w:b/>
          <w:color w:val="auto"/>
          <w:sz w:val="32"/>
          <w:szCs w:val="32"/>
        </w:rPr>
        <w:t>生活垃圾处理费收缴工作</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w:t>
      </w:r>
      <w:r>
        <w:rPr>
          <w:rFonts w:hint="eastAsia" w:ascii="仿宋_GB2312" w:eastAsia="仿宋_GB2312"/>
          <w:color w:val="auto"/>
          <w:sz w:val="32"/>
          <w:szCs w:val="32"/>
        </w:rPr>
        <w:t>2020年初，我处接手金城江铁路片区的生活垃圾收集、清运服务工作。2020年5月，组织收费员开始征收金城江铁路片区生活垃圾处理费。铁路片区住户约3500多户，多为原铁路退休职工及外地租住户，居住人员成份复杂，我处收费人员服从安排，在人员配置不足的情况下，积极深入铁路片区开展收费工作，通过发挥收费技能，努力克服收费困难，顺利完成了铁路片区生活垃圾处理费的收费工作。</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2</w:t>
      </w:r>
      <w:r>
        <w:rPr>
          <w:rFonts w:hint="eastAsia" w:ascii="仿宋_GB2312" w:eastAsia="仿宋_GB2312"/>
          <w:color w:val="auto"/>
          <w:sz w:val="32"/>
          <w:szCs w:val="32"/>
          <w:lang w:eastAsia="zh-CN"/>
        </w:rPr>
        <w:t>）</w:t>
      </w:r>
      <w:r>
        <w:rPr>
          <w:rFonts w:hint="eastAsia" w:ascii="仿宋_GB2312" w:eastAsia="仿宋_GB2312"/>
          <w:color w:val="auto"/>
          <w:sz w:val="32"/>
          <w:szCs w:val="32"/>
        </w:rPr>
        <w:t>在不断提高收费工作质量、效率的基础上，严抓收费管理，发现问题及时处理，采取措施处理了</w:t>
      </w:r>
      <w:r>
        <w:rPr>
          <w:rFonts w:hint="eastAsia" w:ascii="仿宋_GB2312" w:eastAsia="仿宋_GB2312"/>
          <w:b w:val="0"/>
          <w:bCs w:val="0"/>
          <w:color w:val="auto"/>
          <w:sz w:val="32"/>
          <w:szCs w:val="32"/>
          <w:highlight w:val="none"/>
        </w:rPr>
        <w:t>市同行投资公司</w:t>
      </w:r>
      <w:r>
        <w:rPr>
          <w:rFonts w:hint="eastAsia" w:ascii="仿宋_GB2312" w:eastAsia="仿宋_GB2312"/>
          <w:color w:val="auto"/>
          <w:sz w:val="32"/>
          <w:szCs w:val="32"/>
        </w:rPr>
        <w:t>（新天地商贸城）拖欠生活垃圾处理费及四季阳光、西城时代等居民小区不按要求缴纳生活垃圾处理费的问题，涉及生活垃圾处理费30多万元。同时还对华隆假日城堡等商户发放了40多份催缴通知书。努力尽职开展生活垃圾处理费收费工作，确保收费收缴率。至2020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月底，共完成生活垃圾处理费收费</w:t>
      </w:r>
      <w:r>
        <w:rPr>
          <w:rFonts w:hint="eastAsia" w:ascii="仿宋_GB2312" w:eastAsia="仿宋_GB2312"/>
          <w:color w:val="auto"/>
          <w:sz w:val="32"/>
          <w:szCs w:val="32"/>
          <w:lang w:val="en-US" w:eastAsia="zh-CN"/>
        </w:rPr>
        <w:t>519.4948</w:t>
      </w:r>
      <w:r>
        <w:rPr>
          <w:rFonts w:hint="eastAsia" w:ascii="仿宋_GB2312" w:eastAsia="仿宋_GB2312"/>
          <w:color w:val="auto"/>
          <w:sz w:val="32"/>
          <w:szCs w:val="32"/>
        </w:rPr>
        <w:t>万元。</w:t>
      </w:r>
    </w:p>
    <w:p>
      <w:pPr>
        <w:numPr>
          <w:ilvl w:val="0"/>
          <w:numId w:val="0"/>
        </w:numPr>
        <w:ind w:firstLine="640" w:firstLineChars="200"/>
        <w:rPr>
          <w:rFonts w:hint="eastAsia" w:ascii="仿宋_GB2312" w:hAnsi="黑体" w:eastAsia="仿宋_GB2312"/>
          <w:b/>
          <w:color w:val="auto"/>
          <w:sz w:val="32"/>
          <w:szCs w:val="32"/>
        </w:rPr>
      </w:pPr>
      <w:r>
        <w:rPr>
          <w:rFonts w:hint="eastAsia" w:ascii="仿宋_GB2312" w:eastAsia="仿宋_GB2312"/>
          <w:color w:val="auto"/>
          <w:sz w:val="32"/>
          <w:szCs w:val="32"/>
          <w:lang w:val="en-US" w:eastAsia="zh-CN"/>
        </w:rPr>
        <w:t>11、</w:t>
      </w:r>
      <w:r>
        <w:rPr>
          <w:rFonts w:hint="eastAsia" w:ascii="仿宋_GB2312" w:hAnsi="黑体" w:eastAsia="仿宋_GB2312"/>
          <w:b/>
          <w:color w:val="auto"/>
          <w:sz w:val="32"/>
          <w:szCs w:val="32"/>
        </w:rPr>
        <w:t>城区无主建筑垃圾清理服务工作。</w:t>
      </w:r>
    </w:p>
    <w:p>
      <w:pPr>
        <w:ind w:firstLine="640" w:firstLineChars="200"/>
        <w:rPr>
          <w:rFonts w:hint="eastAsia" w:ascii="仿宋_GB2312" w:eastAsia="仿宋_GB2312"/>
          <w:color w:val="auto"/>
          <w:sz w:val="32"/>
          <w:szCs w:val="32"/>
        </w:rPr>
      </w:pPr>
      <w:r>
        <w:rPr>
          <w:rFonts w:hint="eastAsia" w:ascii="仿宋_GB2312" w:eastAsia="仿宋_GB2312"/>
          <w:color w:val="auto"/>
          <w:sz w:val="32"/>
          <w:szCs w:val="32"/>
        </w:rPr>
        <w:t>城区无主建筑垃圾清理继续采取政府购买服务外包社会的方式，按合同要对清理服务中标公司实施管理，由环卫监察中队每日对清理服务的出勤作业、路段及服务质量进行日常监管，平均每天清理城区大街小巷无主建筑垃圾4-6吨。2020年为配合各项卫生工作检查及创建自治区文明城市，迎接自治区卫生城市复审等工作，共清理城乡结合部、卫生死角等建筑垃圾52车次，共计220多吨，对提高城市环境卫生质量取得了良好的成效。</w:t>
      </w:r>
    </w:p>
    <w:p>
      <w:pPr>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12、</w:t>
      </w:r>
      <w:r>
        <w:rPr>
          <w:rFonts w:hint="eastAsia" w:ascii="仿宋_GB2312" w:eastAsia="仿宋_GB2312"/>
          <w:b/>
          <w:bCs/>
          <w:color w:val="auto"/>
          <w:sz w:val="32"/>
          <w:szCs w:val="32"/>
        </w:rPr>
        <w:t>加强环卫监察工作力度</w:t>
      </w:r>
    </w:p>
    <w:p>
      <w:pPr>
        <w:pStyle w:val="10"/>
        <w:numPr>
          <w:ilvl w:val="0"/>
          <w:numId w:val="0"/>
        </w:numPr>
        <w:ind w:firstLine="640"/>
        <w:rPr>
          <w:rFonts w:hint="eastAsia" w:ascii="仿宋_GB2312" w:eastAsia="仿宋_GB2312"/>
          <w:bCs/>
          <w:color w:val="auto"/>
          <w:sz w:val="32"/>
          <w:szCs w:val="32"/>
        </w:rPr>
      </w:pPr>
      <w:r>
        <w:rPr>
          <w:rFonts w:hint="eastAsia" w:ascii="仿宋_GB2312" w:eastAsia="仿宋_GB2312"/>
          <w:bCs/>
          <w:color w:val="auto"/>
          <w:sz w:val="32"/>
          <w:szCs w:val="32"/>
        </w:rPr>
        <w:t>我处卫生监察队员通过发放宣传单、巡回检查、现场处罚等措施，加大乱丢乱扔现象。今</w:t>
      </w:r>
      <w:r>
        <w:rPr>
          <w:rFonts w:hint="eastAsia" w:ascii="仿宋_GB2312" w:eastAsia="仿宋_GB2312"/>
          <w:bCs/>
          <w:color w:val="auto"/>
          <w:sz w:val="32"/>
          <w:szCs w:val="32"/>
          <w:lang w:eastAsia="zh-CN"/>
        </w:rPr>
        <w:t>年</w:t>
      </w:r>
      <w:r>
        <w:rPr>
          <w:rFonts w:hint="eastAsia" w:ascii="仿宋_GB2312" w:eastAsia="仿宋_GB2312"/>
          <w:bCs/>
          <w:color w:val="auto"/>
          <w:sz w:val="32"/>
          <w:szCs w:val="32"/>
        </w:rPr>
        <w:t>共查处各种卫生案件</w:t>
      </w:r>
      <w:r>
        <w:rPr>
          <w:rFonts w:hint="eastAsia" w:ascii="仿宋_GB2312" w:eastAsia="仿宋_GB2312"/>
          <w:bCs/>
          <w:color w:val="auto"/>
          <w:sz w:val="32"/>
          <w:szCs w:val="32"/>
          <w:lang w:val="en-US" w:eastAsia="zh-CN"/>
        </w:rPr>
        <w:t>100</w:t>
      </w:r>
      <w:r>
        <w:rPr>
          <w:rFonts w:hint="eastAsia" w:ascii="仿宋_GB2312" w:eastAsia="仿宋_GB2312"/>
          <w:bCs/>
          <w:color w:val="auto"/>
          <w:sz w:val="32"/>
          <w:szCs w:val="32"/>
        </w:rPr>
        <w:t>多起，规劝垃圾乱扔现象</w:t>
      </w:r>
      <w:r>
        <w:rPr>
          <w:rFonts w:hint="eastAsia" w:ascii="仿宋_GB2312" w:eastAsia="仿宋_GB2312"/>
          <w:bCs/>
          <w:color w:val="auto"/>
          <w:sz w:val="32"/>
          <w:szCs w:val="32"/>
          <w:lang w:val="en-US" w:eastAsia="zh-CN"/>
        </w:rPr>
        <w:t>200多</w:t>
      </w:r>
      <w:r>
        <w:rPr>
          <w:rFonts w:hint="eastAsia" w:ascii="仿宋_GB2312" w:eastAsia="仿宋_GB2312"/>
          <w:bCs/>
          <w:color w:val="auto"/>
          <w:sz w:val="32"/>
          <w:szCs w:val="32"/>
        </w:rPr>
        <w:t>起，对</w:t>
      </w:r>
      <w:r>
        <w:rPr>
          <w:rFonts w:hint="eastAsia" w:ascii="仿宋_GB2312" w:eastAsia="仿宋_GB2312"/>
          <w:bCs/>
          <w:color w:val="auto"/>
          <w:sz w:val="32"/>
          <w:szCs w:val="32"/>
          <w:lang w:val="en-US" w:eastAsia="zh-CN"/>
        </w:rPr>
        <w:t>5</w:t>
      </w:r>
      <w:r>
        <w:rPr>
          <w:rFonts w:hint="eastAsia" w:ascii="仿宋_GB2312" w:eastAsia="仿宋_GB2312"/>
          <w:bCs/>
          <w:color w:val="auto"/>
          <w:sz w:val="32"/>
          <w:szCs w:val="32"/>
        </w:rPr>
        <w:t>0多家门店乱倒建筑垃圾的现象进行批评教育。在短期内就取得了明显的整治成效。</w:t>
      </w:r>
    </w:p>
    <w:p>
      <w:pPr>
        <w:pStyle w:val="10"/>
        <w:numPr>
          <w:ilvl w:val="0"/>
          <w:numId w:val="0"/>
        </w:numPr>
        <w:ind w:firstLine="640"/>
        <w:rPr>
          <w:rFonts w:hint="eastAsia" w:ascii="仿宋_GB2312" w:eastAsia="仿宋_GB2312"/>
          <w:bCs/>
          <w:color w:val="auto"/>
          <w:sz w:val="32"/>
          <w:szCs w:val="32"/>
          <w:lang w:val="en-US" w:eastAsia="zh-CN"/>
        </w:rPr>
      </w:pPr>
      <w:r>
        <w:rPr>
          <w:rFonts w:hint="eastAsia" w:ascii="仿宋_GB2312" w:eastAsia="仿宋_GB2312"/>
          <w:bCs/>
          <w:color w:val="auto"/>
          <w:sz w:val="32"/>
          <w:szCs w:val="32"/>
          <w:lang w:val="en-US" w:eastAsia="zh-CN"/>
        </w:rPr>
        <w:t>13、</w:t>
      </w:r>
      <w:r>
        <w:rPr>
          <w:rFonts w:hint="eastAsia" w:ascii="仿宋_GB2312" w:eastAsia="仿宋_GB2312"/>
          <w:b/>
          <w:bCs/>
          <w:color w:val="auto"/>
          <w:sz w:val="32"/>
          <w:szCs w:val="32"/>
        </w:rPr>
        <w:t>做好人大提案、市长信箱、管家平台等的议安、投诉的整改与答复工作</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认真</w:t>
      </w:r>
      <w:r>
        <w:rPr>
          <w:rFonts w:hint="eastAsia" w:ascii="仿宋_GB2312" w:eastAsia="仿宋_GB2312"/>
          <w:color w:val="auto"/>
          <w:sz w:val="32"/>
          <w:szCs w:val="32"/>
          <w:lang w:eastAsia="zh-CN"/>
        </w:rPr>
        <w:t>做好</w:t>
      </w:r>
      <w:r>
        <w:rPr>
          <w:rFonts w:hint="eastAsia" w:ascii="仿宋_GB2312" w:eastAsia="仿宋_GB2312"/>
          <w:color w:val="auto"/>
          <w:sz w:val="32"/>
          <w:szCs w:val="32"/>
        </w:rPr>
        <w:t>人大提案、书记信箱</w:t>
      </w:r>
      <w:r>
        <w:rPr>
          <w:rFonts w:hint="eastAsia" w:ascii="仿宋_GB2312" w:eastAsia="仿宋_GB2312"/>
          <w:color w:val="auto"/>
          <w:sz w:val="32"/>
          <w:szCs w:val="32"/>
          <w:lang w:eastAsia="zh-CN"/>
        </w:rPr>
        <w:t>、</w:t>
      </w:r>
      <w:r>
        <w:rPr>
          <w:rFonts w:hint="eastAsia" w:ascii="仿宋_GB2312" w:eastAsia="仿宋_GB2312"/>
          <w:color w:val="auto"/>
          <w:sz w:val="32"/>
          <w:szCs w:val="32"/>
          <w:lang w:val="en-US" w:eastAsia="zh-CN"/>
        </w:rPr>
        <w:t>12345政府</w:t>
      </w:r>
      <w:r>
        <w:rPr>
          <w:rFonts w:hint="eastAsia" w:ascii="仿宋_GB2312" w:eastAsia="仿宋_GB2312"/>
          <w:color w:val="auto"/>
          <w:sz w:val="32"/>
          <w:szCs w:val="32"/>
          <w:lang w:eastAsia="zh-CN"/>
        </w:rPr>
        <w:t>热线投诉、网络问政、</w:t>
      </w:r>
      <w:r>
        <w:rPr>
          <w:rFonts w:hint="eastAsia" w:ascii="仿宋_GB2312" w:eastAsia="仿宋_GB2312"/>
          <w:color w:val="auto"/>
          <w:sz w:val="32"/>
          <w:szCs w:val="32"/>
        </w:rPr>
        <w:t>管家平台</w:t>
      </w:r>
      <w:r>
        <w:rPr>
          <w:rFonts w:hint="eastAsia" w:ascii="仿宋_GB2312" w:eastAsia="仿宋_GB2312"/>
          <w:color w:val="auto"/>
          <w:sz w:val="32"/>
          <w:szCs w:val="32"/>
          <w:lang w:eastAsia="zh-CN"/>
        </w:rPr>
        <w:t>等</w:t>
      </w:r>
      <w:r>
        <w:rPr>
          <w:rFonts w:hint="eastAsia" w:ascii="仿宋_GB2312" w:eastAsia="仿宋_GB2312"/>
          <w:color w:val="auto"/>
          <w:sz w:val="32"/>
          <w:szCs w:val="32"/>
        </w:rPr>
        <w:t>案件整改、解释和答复工作。全年</w:t>
      </w:r>
      <w:r>
        <w:rPr>
          <w:rFonts w:hint="eastAsia" w:ascii="仿宋_GB2312" w:eastAsia="仿宋_GB2312"/>
          <w:color w:val="auto"/>
          <w:sz w:val="32"/>
          <w:szCs w:val="32"/>
          <w:lang w:eastAsia="zh-CN"/>
        </w:rPr>
        <w:t>共完成</w:t>
      </w:r>
      <w:r>
        <w:rPr>
          <w:rFonts w:hint="eastAsia" w:ascii="仿宋_GB2312" w:eastAsia="仿宋_GB2312"/>
          <w:color w:val="auto"/>
          <w:sz w:val="32"/>
          <w:szCs w:val="32"/>
        </w:rPr>
        <w:t>“网络问政”</w:t>
      </w:r>
      <w:r>
        <w:rPr>
          <w:rFonts w:hint="eastAsia" w:ascii="仿宋_GB2312" w:eastAsia="仿宋_GB2312"/>
          <w:color w:val="auto"/>
          <w:sz w:val="32"/>
          <w:szCs w:val="32"/>
          <w:lang w:eastAsia="zh-CN"/>
        </w:rPr>
        <w:t>案件</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起，人大议案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起，书记信箱</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起，</w:t>
      </w:r>
      <w:r>
        <w:rPr>
          <w:rFonts w:hint="eastAsia" w:ascii="仿宋_GB2312" w:eastAsia="仿宋_GB2312"/>
          <w:color w:val="auto"/>
          <w:sz w:val="32"/>
          <w:szCs w:val="32"/>
          <w:lang w:val="en-US" w:eastAsia="zh-CN"/>
        </w:rPr>
        <w:t>12345</w:t>
      </w:r>
      <w:r>
        <w:rPr>
          <w:rFonts w:hint="eastAsia" w:ascii="仿宋_GB2312" w:eastAsia="仿宋_GB2312"/>
          <w:color w:val="auto"/>
          <w:sz w:val="32"/>
          <w:szCs w:val="32"/>
          <w:lang w:eastAsia="zh-CN"/>
        </w:rPr>
        <w:t>政府热线</w:t>
      </w:r>
      <w:r>
        <w:rPr>
          <w:rFonts w:hint="eastAsia" w:ascii="仿宋_GB2312" w:eastAsia="仿宋_GB2312"/>
          <w:color w:val="auto"/>
          <w:sz w:val="32"/>
          <w:szCs w:val="32"/>
        </w:rPr>
        <w:t>案件</w:t>
      </w:r>
      <w:r>
        <w:rPr>
          <w:rFonts w:hint="eastAsia" w:ascii="仿宋_GB2312" w:eastAsia="仿宋_GB2312"/>
          <w:color w:val="auto"/>
          <w:sz w:val="32"/>
          <w:szCs w:val="32"/>
          <w:lang w:val="en-US" w:eastAsia="zh-CN"/>
        </w:rPr>
        <w:t>25</w:t>
      </w:r>
      <w:r>
        <w:rPr>
          <w:rFonts w:hint="eastAsia" w:ascii="仿宋_GB2312" w:eastAsia="仿宋_GB2312"/>
          <w:color w:val="auto"/>
          <w:sz w:val="32"/>
          <w:szCs w:val="32"/>
        </w:rPr>
        <w:t>件</w:t>
      </w:r>
      <w:r>
        <w:rPr>
          <w:rFonts w:hint="eastAsia" w:ascii="仿宋_GB2312" w:eastAsia="仿宋_GB2312"/>
          <w:color w:val="auto"/>
          <w:sz w:val="32"/>
          <w:szCs w:val="32"/>
          <w:lang w:eastAsia="zh-CN"/>
        </w:rPr>
        <w:t>，信访件</w:t>
      </w:r>
      <w:r>
        <w:rPr>
          <w:rFonts w:hint="eastAsia" w:ascii="仿宋_GB2312" w:eastAsia="仿宋_GB2312"/>
          <w:color w:val="auto"/>
          <w:sz w:val="32"/>
          <w:szCs w:val="32"/>
          <w:lang w:val="en-US" w:eastAsia="zh-CN"/>
        </w:rPr>
        <w:t>2起，管家平台案件174件</w:t>
      </w:r>
      <w:r>
        <w:rPr>
          <w:rFonts w:hint="eastAsia" w:ascii="仿宋_GB2312" w:eastAsia="仿宋_GB2312"/>
          <w:color w:val="auto"/>
          <w:sz w:val="32"/>
          <w:szCs w:val="32"/>
        </w:rPr>
        <w:t>。积极做好对应的在网络上公布环卫服务投诉电话，节假日照常受理，以便于及时解决各种问题，提高环卫服务质量。</w:t>
      </w:r>
    </w:p>
    <w:p>
      <w:pPr>
        <w:snapToGrid w:val="0"/>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二、收入支出预算执行情况分析</w:t>
      </w:r>
    </w:p>
    <w:bookmarkEnd w:id="3"/>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_GB2312" w:hAnsi="仿宋" w:eastAsia="楷体_GB2312"/>
          <w:b/>
          <w:color w:val="auto"/>
          <w:sz w:val="32"/>
          <w:szCs w:val="32"/>
        </w:rPr>
      </w:pPr>
      <w:r>
        <w:rPr>
          <w:rFonts w:hint="eastAsia" w:ascii="楷体_GB2312" w:hAnsi="仿宋" w:eastAsia="楷体_GB2312"/>
          <w:b/>
          <w:color w:val="auto"/>
          <w:sz w:val="32"/>
          <w:szCs w:val="32"/>
        </w:rPr>
        <w:t>（一）收入支出预算安排情况。</w:t>
      </w:r>
    </w:p>
    <w:p>
      <w:pPr>
        <w:snapToGrid w:val="0"/>
        <w:spacing w:line="520" w:lineRule="exact"/>
        <w:ind w:firstLine="420" w:firstLineChars="200"/>
        <w:rPr>
          <w:rFonts w:hint="eastAsia" w:ascii="仿宋_GB2312" w:hAnsi="仿宋" w:eastAsia="仿宋_GB2312"/>
          <w:color w:val="auto"/>
          <w:sz w:val="32"/>
          <w:szCs w:val="32"/>
        </w:rPr>
      </w:pPr>
      <w:r>
        <w:rPr>
          <w:color w:val="auto"/>
        </w:rPr>
        <w:drawing>
          <wp:anchor distT="0" distB="0" distL="114300" distR="114300" simplePos="0" relativeHeight="251660288" behindDoc="0" locked="0" layoutInCell="1" allowOverlap="1">
            <wp:simplePos x="0" y="0"/>
            <wp:positionH relativeFrom="column">
              <wp:posOffset>2908935</wp:posOffset>
            </wp:positionH>
            <wp:positionV relativeFrom="paragraph">
              <wp:posOffset>313690</wp:posOffset>
            </wp:positionV>
            <wp:extent cx="2591435" cy="2191385"/>
            <wp:effectExtent l="4445" t="4445" r="13970" b="13970"/>
            <wp:wrapSquare wrapText="bothSides"/>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ascii="仿宋_GB2312" w:hAnsi="仿宋" w:eastAsia="仿宋_GB2312"/>
          <w:color w:val="auto"/>
          <w:sz w:val="32"/>
          <w:szCs w:val="32"/>
        </w:rPr>
        <w:t>1、收入预算安排情况</w:t>
      </w:r>
    </w:p>
    <w:p>
      <w:p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年年初收入预算总计</w:t>
      </w:r>
      <w:r>
        <w:rPr>
          <w:rFonts w:hint="eastAsia" w:ascii="仿宋_GB2312" w:hAnsi="仿宋" w:eastAsia="仿宋_GB2312"/>
          <w:color w:val="auto"/>
          <w:sz w:val="32"/>
          <w:szCs w:val="32"/>
          <w:lang w:val="en-US" w:eastAsia="zh-CN"/>
        </w:rPr>
        <w:t>2996.64</w:t>
      </w:r>
      <w:r>
        <w:rPr>
          <w:rFonts w:hint="eastAsia" w:ascii="仿宋_GB2312" w:hAnsi="仿宋" w:eastAsia="仿宋_GB2312"/>
          <w:color w:val="auto"/>
          <w:sz w:val="32"/>
          <w:szCs w:val="32"/>
        </w:rPr>
        <w:t>万元，其中:年初结转和结余</w:t>
      </w:r>
      <w:r>
        <w:rPr>
          <w:rFonts w:hint="eastAsia" w:ascii="仿宋_GB2312" w:hAnsi="仿宋" w:eastAsia="仿宋_GB2312"/>
          <w:color w:val="auto"/>
          <w:sz w:val="32"/>
          <w:szCs w:val="32"/>
          <w:lang w:val="en-US" w:eastAsia="zh-CN"/>
        </w:rPr>
        <w:t>57.67</w:t>
      </w:r>
      <w:r>
        <w:rPr>
          <w:rFonts w:hint="eastAsia" w:ascii="仿宋_GB2312" w:hAnsi="仿宋" w:eastAsia="仿宋_GB2312"/>
          <w:color w:val="auto"/>
          <w:sz w:val="32"/>
          <w:szCs w:val="32"/>
        </w:rPr>
        <w:t>万元，占年初收入总预算的</w:t>
      </w:r>
      <w:r>
        <w:rPr>
          <w:rFonts w:hint="eastAsia" w:ascii="仿宋_GB2312" w:hAnsi="仿宋" w:eastAsia="仿宋_GB2312"/>
          <w:color w:val="auto"/>
          <w:sz w:val="32"/>
          <w:szCs w:val="32"/>
          <w:lang w:val="en-US" w:eastAsia="zh-CN"/>
        </w:rPr>
        <w:t>1.92</w:t>
      </w:r>
      <w:r>
        <w:rPr>
          <w:rFonts w:hint="eastAsia" w:ascii="仿宋_GB2312" w:hAnsi="仿宋" w:eastAsia="仿宋_GB2312"/>
          <w:color w:val="auto"/>
          <w:sz w:val="32"/>
          <w:szCs w:val="32"/>
        </w:rPr>
        <w:t>%；本年收入预算</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万元,占年初收入总预算的</w:t>
      </w:r>
      <w:r>
        <w:rPr>
          <w:rFonts w:hint="eastAsia" w:ascii="仿宋_GB2312" w:hAnsi="仿宋" w:eastAsia="仿宋_GB2312"/>
          <w:color w:val="auto"/>
          <w:sz w:val="32"/>
          <w:szCs w:val="32"/>
          <w:lang w:val="en-US" w:eastAsia="zh-CN"/>
        </w:rPr>
        <w:t>98.08</w:t>
      </w:r>
      <w:r>
        <w:rPr>
          <w:rFonts w:hint="eastAsia" w:ascii="仿宋_GB2312" w:hAnsi="仿宋" w:eastAsia="仿宋_GB2312"/>
          <w:color w:val="auto"/>
          <w:sz w:val="32"/>
          <w:szCs w:val="32"/>
        </w:rPr>
        <w:t>%。</w:t>
      </w:r>
    </w:p>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本年收入年初预算</w:t>
      </w:r>
      <w:r>
        <w:rPr>
          <w:rFonts w:hint="eastAsia" w:ascii="仿宋_GB2312" w:hAnsi="仿宋" w:eastAsia="仿宋_GB2312"/>
          <w:color w:val="auto"/>
          <w:sz w:val="32"/>
          <w:szCs w:val="32"/>
          <w:lang w:val="en-US" w:eastAsia="zh-CN"/>
        </w:rPr>
        <w:t>2939.48</w:t>
      </w:r>
      <w:r>
        <w:rPr>
          <w:rFonts w:hint="eastAsia" w:ascii="仿宋_GB2312" w:hAnsi="仿宋" w:eastAsia="仿宋_GB2312"/>
          <w:color w:val="auto"/>
          <w:sz w:val="32"/>
          <w:szCs w:val="32"/>
        </w:rPr>
        <w:t>万元,其中：一般公共预算财政拨款收入</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万元,占本年收入预算</w:t>
      </w:r>
      <w:r>
        <w:rPr>
          <w:rFonts w:hint="eastAsia" w:ascii="仿宋_GB2312" w:hAnsi="仿宋" w:eastAsia="仿宋_GB2312"/>
          <w:color w:val="auto"/>
          <w:sz w:val="32"/>
          <w:szCs w:val="32"/>
          <w:lang w:val="en-US" w:eastAsia="zh-CN"/>
        </w:rPr>
        <w:t>99.98</w:t>
      </w:r>
      <w:r>
        <w:rPr>
          <w:rFonts w:hint="eastAsia" w:ascii="仿宋_GB2312" w:hAnsi="仿宋" w:eastAsia="仿宋_GB2312"/>
          <w:color w:val="auto"/>
          <w:sz w:val="32"/>
          <w:szCs w:val="32"/>
        </w:rPr>
        <w:t>%；非财政拨款其他收入0.</w:t>
      </w:r>
      <w:r>
        <w:rPr>
          <w:rFonts w:hint="eastAsia" w:ascii="仿宋_GB2312" w:hAnsi="仿宋" w:eastAsia="仿宋_GB2312"/>
          <w:color w:val="auto"/>
          <w:sz w:val="32"/>
          <w:szCs w:val="32"/>
          <w:lang w:val="en-US" w:eastAsia="zh-CN"/>
        </w:rPr>
        <w:t>5068</w:t>
      </w:r>
      <w:r>
        <w:rPr>
          <w:rFonts w:hint="eastAsia" w:ascii="仿宋_GB2312" w:hAnsi="仿宋" w:eastAsia="仿宋_GB2312"/>
          <w:color w:val="auto"/>
          <w:sz w:val="32"/>
          <w:szCs w:val="32"/>
        </w:rPr>
        <w:t>万元，占本年收入预算0.02%。</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2、支出预算安排情况</w:t>
      </w:r>
    </w:p>
    <w:p>
      <w:p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年本年支出年初预算</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万元,与上年同比</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21.22</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上升</w:t>
      </w:r>
      <w:r>
        <w:rPr>
          <w:rFonts w:hint="eastAsia" w:ascii="仿宋_GB2312" w:hAnsi="仿宋" w:eastAsia="仿宋_GB2312"/>
          <w:color w:val="auto"/>
          <w:sz w:val="32"/>
          <w:szCs w:val="32"/>
          <w:lang w:val="en-US" w:eastAsia="zh-CN"/>
        </w:rPr>
        <w:t>0.73</w:t>
      </w:r>
      <w:r>
        <w:rPr>
          <w:rFonts w:hint="eastAsia" w:ascii="仿宋_GB2312" w:hAnsi="仿宋" w:eastAsia="仿宋_GB2312"/>
          <w:color w:val="auto"/>
          <w:sz w:val="32"/>
          <w:szCs w:val="32"/>
        </w:rPr>
        <w:t>%。其中：基本支出预算</w:t>
      </w:r>
      <w:r>
        <w:rPr>
          <w:rFonts w:hint="eastAsia" w:ascii="仿宋_GB2312" w:hAnsi="仿宋" w:eastAsia="仿宋_GB2312"/>
          <w:color w:val="auto"/>
          <w:sz w:val="32"/>
          <w:szCs w:val="32"/>
          <w:lang w:val="en-US" w:eastAsia="zh-CN"/>
        </w:rPr>
        <w:t>2350.07</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占本年支出预算</w:t>
      </w:r>
      <w:r>
        <w:rPr>
          <w:rFonts w:hint="eastAsia" w:ascii="仿宋_GB2312" w:hAnsi="仿宋" w:eastAsia="仿宋_GB2312"/>
          <w:color w:val="auto"/>
          <w:sz w:val="32"/>
          <w:szCs w:val="32"/>
          <w:lang w:val="en-US" w:eastAsia="zh-CN"/>
        </w:rPr>
        <w:t>79.96%；</w:t>
      </w:r>
      <w:r>
        <w:rPr>
          <w:rFonts w:hint="eastAsia" w:ascii="仿宋_GB2312" w:hAnsi="仿宋" w:eastAsia="仿宋_GB2312"/>
          <w:color w:val="auto"/>
          <w:sz w:val="32"/>
          <w:szCs w:val="32"/>
        </w:rPr>
        <w:t>项目支出预算</w:t>
      </w:r>
      <w:r>
        <w:rPr>
          <w:rFonts w:hint="eastAsia" w:ascii="仿宋_GB2312" w:hAnsi="仿宋" w:eastAsia="仿宋_GB2312"/>
          <w:color w:val="auto"/>
          <w:sz w:val="32"/>
          <w:szCs w:val="32"/>
          <w:lang w:val="en-US" w:eastAsia="zh-CN"/>
        </w:rPr>
        <w:t>588.9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占本年支出预算</w:t>
      </w:r>
      <w:r>
        <w:rPr>
          <w:rFonts w:hint="eastAsia" w:ascii="仿宋_GB2312" w:hAnsi="仿宋" w:eastAsia="仿宋_GB2312"/>
          <w:color w:val="auto"/>
          <w:sz w:val="32"/>
          <w:szCs w:val="32"/>
          <w:lang w:val="en-US" w:eastAsia="zh-CN"/>
        </w:rPr>
        <w:t>20.04%</w:t>
      </w:r>
      <w:r>
        <w:rPr>
          <w:rFonts w:hint="eastAsia" w:ascii="仿宋_GB2312" w:hAnsi="仿宋" w:eastAsia="仿宋_GB2312"/>
          <w:color w:val="auto"/>
          <w:sz w:val="32"/>
          <w:szCs w:val="32"/>
        </w:rPr>
        <w:t>。</w:t>
      </w:r>
    </w:p>
    <w:p>
      <w:pPr>
        <w:numPr>
          <w:ilvl w:val="0"/>
          <w:numId w:val="0"/>
        </w:numPr>
        <w:snapToGrid w:val="0"/>
        <w:spacing w:line="520" w:lineRule="exact"/>
        <w:rPr>
          <w:rFonts w:hint="eastAsia" w:ascii="仿宋_GB2312" w:hAnsi="仿宋" w:eastAsia="仿宋_GB2312"/>
          <w:color w:val="auto"/>
          <w:sz w:val="32"/>
          <w:szCs w:val="32"/>
        </w:rPr>
      </w:pPr>
      <w:r>
        <w:rPr>
          <w:color w:val="auto"/>
        </w:rPr>
        <w:drawing>
          <wp:anchor distT="0" distB="0" distL="114300" distR="114300" simplePos="0" relativeHeight="251659264" behindDoc="0" locked="0" layoutInCell="1" allowOverlap="0">
            <wp:simplePos x="0" y="0"/>
            <wp:positionH relativeFrom="column">
              <wp:posOffset>394335</wp:posOffset>
            </wp:positionH>
            <wp:positionV relativeFrom="paragraph">
              <wp:posOffset>7620</wp:posOffset>
            </wp:positionV>
            <wp:extent cx="4439920" cy="2545080"/>
            <wp:effectExtent l="4445" t="4445" r="13335" b="22225"/>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numPr>
          <w:ilvl w:val="0"/>
          <w:numId w:val="0"/>
        </w:numPr>
        <w:snapToGrid w:val="0"/>
        <w:spacing w:line="520" w:lineRule="exact"/>
        <w:rPr>
          <w:rFonts w:hint="eastAsia" w:ascii="仿宋_GB2312" w:hAnsi="仿宋" w:eastAsia="仿宋_GB2312"/>
          <w:color w:val="auto"/>
          <w:sz w:val="32"/>
          <w:szCs w:val="32"/>
        </w:rPr>
      </w:pPr>
    </w:p>
    <w:p>
      <w:pPr>
        <w:numPr>
          <w:ilvl w:val="0"/>
          <w:numId w:val="0"/>
        </w:numPr>
        <w:snapToGrid w:val="0"/>
        <w:spacing w:line="520" w:lineRule="exact"/>
        <w:rPr>
          <w:rFonts w:hint="eastAsia" w:ascii="仿宋_GB2312" w:hAnsi="仿宋" w:eastAsia="仿宋_GB2312"/>
          <w:color w:val="auto"/>
          <w:sz w:val="32"/>
          <w:szCs w:val="32"/>
        </w:rPr>
      </w:pPr>
    </w:p>
    <w:p>
      <w:pPr>
        <w:numPr>
          <w:ilvl w:val="0"/>
          <w:numId w:val="0"/>
        </w:numPr>
        <w:snapToGrid w:val="0"/>
        <w:spacing w:line="520" w:lineRule="exact"/>
        <w:rPr>
          <w:rFonts w:hint="eastAsia" w:ascii="仿宋_GB2312" w:hAnsi="仿宋" w:eastAsia="仿宋_GB2312"/>
          <w:color w:val="auto"/>
          <w:sz w:val="32"/>
          <w:szCs w:val="32"/>
          <w:lang w:val="en-US" w:eastAsia="zh-CN"/>
        </w:rPr>
      </w:pPr>
    </w:p>
    <w:p>
      <w:pPr>
        <w:numPr>
          <w:ilvl w:val="0"/>
          <w:numId w:val="0"/>
        </w:numPr>
        <w:snapToGrid w:val="0"/>
        <w:spacing w:line="520" w:lineRule="exact"/>
        <w:rPr>
          <w:rFonts w:hint="eastAsia" w:ascii="仿宋_GB2312" w:hAnsi="仿宋" w:eastAsia="仿宋_GB2312"/>
          <w:color w:val="auto"/>
          <w:sz w:val="32"/>
          <w:szCs w:val="32"/>
          <w:lang w:val="en-US" w:eastAsia="zh-CN"/>
        </w:rPr>
      </w:pPr>
    </w:p>
    <w:p>
      <w:pPr>
        <w:numPr>
          <w:ilvl w:val="0"/>
          <w:numId w:val="0"/>
        </w:numPr>
        <w:snapToGrid w:val="0"/>
        <w:spacing w:line="520" w:lineRule="exact"/>
        <w:rPr>
          <w:rFonts w:hint="eastAsia" w:ascii="仿宋_GB2312" w:hAnsi="仿宋" w:eastAsia="仿宋_GB2312"/>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val="en-US" w:eastAsia="zh-CN"/>
        </w:rPr>
        <w:t>3、</w:t>
      </w:r>
      <w:r>
        <w:rPr>
          <w:rFonts w:hint="eastAsia" w:ascii="仿宋_GB2312" w:hAnsi="仿宋" w:eastAsia="仿宋_GB2312"/>
          <w:color w:val="auto"/>
          <w:sz w:val="32"/>
          <w:szCs w:val="32"/>
          <w:lang w:eastAsia="zh-CN"/>
        </w:rPr>
        <w:t>年</w:t>
      </w:r>
      <w:r>
        <w:rPr>
          <w:rFonts w:hint="eastAsia" w:ascii="仿宋_GB2312" w:hAnsi="仿宋" w:eastAsia="仿宋_GB2312"/>
          <w:color w:val="auto"/>
          <w:sz w:val="32"/>
          <w:szCs w:val="32"/>
        </w:rPr>
        <w:t>度执行中调整情况</w:t>
      </w:r>
    </w:p>
    <w:p>
      <w:pPr>
        <w:numPr>
          <w:ilvl w:val="0"/>
          <w:numId w:val="2"/>
        </w:numPr>
        <w:snapToGrid w:val="0"/>
        <w:spacing w:line="520" w:lineRule="exact"/>
        <w:ind w:left="4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追加</w:t>
      </w:r>
      <w:r>
        <w:rPr>
          <w:rFonts w:hint="eastAsia" w:ascii="仿宋_GB2312" w:hAnsi="仿宋" w:eastAsia="仿宋_GB2312"/>
          <w:color w:val="auto"/>
          <w:sz w:val="32"/>
          <w:szCs w:val="32"/>
        </w:rPr>
        <w:t>调整遗属生活补助经费</w:t>
      </w:r>
      <w:r>
        <w:rPr>
          <w:rFonts w:hint="eastAsia" w:ascii="仿宋_GB2312" w:hAnsi="仿宋" w:eastAsia="仿宋_GB2312"/>
          <w:color w:val="auto"/>
          <w:sz w:val="32"/>
          <w:szCs w:val="32"/>
          <w:lang w:val="en-US" w:eastAsia="zh-CN"/>
        </w:rPr>
        <w:t>1.4453万元。</w:t>
      </w:r>
    </w:p>
    <w:p>
      <w:pPr>
        <w:snapToGrid w:val="0"/>
        <w:spacing w:line="520" w:lineRule="exact"/>
        <w:ind w:firstLine="643" w:firstLineChars="200"/>
        <w:rPr>
          <w:rFonts w:hint="eastAsia" w:ascii="楷体_GB2312" w:hAnsi="仿宋" w:eastAsia="楷体_GB2312"/>
          <w:b/>
          <w:color w:val="auto"/>
          <w:sz w:val="32"/>
          <w:szCs w:val="32"/>
        </w:rPr>
      </w:pP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（二）收入支出预算执行情况。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当年收入支出预算执行基本情况，与上年度对比情况，包括增减绝对值与幅度，增减变动主要原因。</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仿宋_GB2312" w:hAnsi="仿宋" w:eastAsia="仿宋_GB2312"/>
          <w:color w:val="auto"/>
          <w:sz w:val="32"/>
          <w:szCs w:val="32"/>
          <w:lang w:eastAsia="zh-CN"/>
        </w:rPr>
      </w:pPr>
      <w:r>
        <w:rPr>
          <w:color w:val="auto"/>
        </w:rPr>
        <w:drawing>
          <wp:inline distT="0" distB="0" distL="114300" distR="114300">
            <wp:extent cx="5270500" cy="3571240"/>
            <wp:effectExtent l="4445" t="4445" r="20955" b="571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hint="eastAsia" w:ascii="仿宋_GB2312" w:hAnsi="仿宋" w:eastAsia="仿宋_GB2312"/>
          <w:color w:val="auto"/>
          <w:sz w:val="32"/>
          <w:szCs w:val="32"/>
        </w:rPr>
        <w:t>本年收入年初预算数</w:t>
      </w:r>
      <w:r>
        <w:rPr>
          <w:rFonts w:hint="eastAsia" w:ascii="仿宋_GB2312" w:hAnsi="仿宋" w:eastAsia="仿宋_GB2312"/>
          <w:color w:val="auto"/>
          <w:sz w:val="32"/>
          <w:szCs w:val="32"/>
          <w:lang w:val="en-US" w:eastAsia="zh-CN"/>
        </w:rPr>
        <w:t>2996.64</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3397.97</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13.39</w:t>
      </w:r>
      <w:r>
        <w:rPr>
          <w:rFonts w:hint="eastAsia" w:ascii="仿宋_GB2312" w:hAnsi="仿宋" w:eastAsia="仿宋_GB2312"/>
          <w:color w:val="auto"/>
          <w:sz w:val="32"/>
          <w:szCs w:val="32"/>
        </w:rPr>
        <w:t>%。本年支出预算数</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3355.11</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14.16</w:t>
      </w:r>
      <w:r>
        <w:rPr>
          <w:rFonts w:hint="eastAsia" w:ascii="仿宋_GB2312" w:hAnsi="仿宋" w:eastAsia="仿宋_GB2312"/>
          <w:color w:val="auto"/>
          <w:sz w:val="32"/>
          <w:szCs w:val="32"/>
        </w:rPr>
        <w:t>%。</w:t>
      </w:r>
    </w:p>
    <w:p>
      <w:pPr>
        <w:snapToGrid w:val="0"/>
        <w:spacing w:line="240" w:lineRule="auto"/>
        <w:ind w:firstLine="420" w:firstLineChars="200"/>
        <w:rPr>
          <w:rFonts w:hint="eastAsia" w:ascii="仿宋_GB2312" w:hAnsi="仿宋" w:eastAsia="仿宋_GB2312"/>
          <w:color w:val="auto"/>
          <w:sz w:val="32"/>
          <w:szCs w:val="32"/>
        </w:rPr>
      </w:pPr>
      <w:r>
        <w:rPr>
          <w:color w:val="auto"/>
        </w:rPr>
        <w:drawing>
          <wp:inline distT="0" distB="0" distL="114300" distR="114300">
            <wp:extent cx="4866640" cy="2772410"/>
            <wp:effectExtent l="4445" t="4445" r="5715" b="2349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Pr>
          <w:rFonts w:hint="eastAsia" w:ascii="仿宋_GB2312" w:hAnsi="仿宋" w:eastAsia="仿宋_GB2312"/>
          <w:color w:val="auto"/>
          <w:sz w:val="32"/>
          <w:szCs w:val="32"/>
        </w:rPr>
        <w:t>收入</w:t>
      </w:r>
      <w:r>
        <w:rPr>
          <w:rFonts w:hint="eastAsia" w:ascii="仿宋_GB2312" w:hAnsi="仿宋" w:eastAsia="仿宋_GB2312"/>
          <w:color w:val="auto"/>
          <w:sz w:val="32"/>
          <w:szCs w:val="32"/>
          <w:lang w:eastAsia="zh-CN"/>
        </w:rPr>
        <w:t>总</w:t>
      </w:r>
      <w:r>
        <w:rPr>
          <w:rFonts w:hint="eastAsia" w:ascii="仿宋_GB2312" w:hAnsi="仿宋" w:eastAsia="仿宋_GB2312"/>
          <w:color w:val="auto"/>
          <w:sz w:val="32"/>
          <w:szCs w:val="32"/>
        </w:rPr>
        <w:t>计</w:t>
      </w:r>
      <w:r>
        <w:rPr>
          <w:rFonts w:hint="eastAsia" w:ascii="仿宋_GB2312" w:hAnsi="仿宋" w:eastAsia="仿宋_GB2312"/>
          <w:color w:val="auto"/>
          <w:sz w:val="32"/>
          <w:szCs w:val="32"/>
          <w:lang w:val="en-US" w:eastAsia="zh-CN"/>
        </w:rPr>
        <w:t>3397.98</w:t>
      </w:r>
      <w:r>
        <w:rPr>
          <w:rFonts w:hint="eastAsia" w:ascii="仿宋_GB2312" w:hAnsi="仿宋" w:eastAsia="仿宋_GB2312"/>
          <w:color w:val="auto"/>
          <w:sz w:val="32"/>
          <w:szCs w:val="32"/>
        </w:rPr>
        <w:t>万元，与上年同比增加</w:t>
      </w:r>
      <w:r>
        <w:rPr>
          <w:rFonts w:hint="eastAsia" w:ascii="仿宋_GB2312" w:hAnsi="仿宋" w:eastAsia="仿宋_GB2312"/>
          <w:color w:val="auto"/>
          <w:sz w:val="32"/>
          <w:szCs w:val="32"/>
          <w:lang w:val="en-US" w:eastAsia="zh-CN"/>
        </w:rPr>
        <w:t>146.72</w:t>
      </w:r>
      <w:r>
        <w:rPr>
          <w:rFonts w:hint="eastAsia" w:ascii="仿宋_GB2312" w:hAnsi="仿宋" w:eastAsia="仿宋_GB2312"/>
          <w:color w:val="auto"/>
          <w:sz w:val="32"/>
          <w:szCs w:val="32"/>
        </w:rPr>
        <w:t>万元，同比增长</w:t>
      </w:r>
      <w:r>
        <w:rPr>
          <w:rFonts w:hint="eastAsia" w:ascii="仿宋_GB2312" w:hAnsi="仿宋" w:eastAsia="仿宋_GB2312"/>
          <w:color w:val="auto"/>
          <w:sz w:val="32"/>
          <w:szCs w:val="32"/>
          <w:lang w:val="en-US" w:eastAsia="zh-CN"/>
        </w:rPr>
        <w:t>4.51</w:t>
      </w:r>
      <w:r>
        <w:rPr>
          <w:rFonts w:hint="eastAsia" w:ascii="仿宋_GB2312" w:hAnsi="仿宋" w:eastAsia="仿宋_GB2312"/>
          <w:color w:val="auto"/>
          <w:sz w:val="32"/>
          <w:szCs w:val="32"/>
        </w:rPr>
        <w:t>%，其中：本年财政拨款收入</w:t>
      </w:r>
      <w:r>
        <w:rPr>
          <w:rFonts w:hint="eastAsia" w:ascii="仿宋_GB2312" w:hAnsi="仿宋" w:eastAsia="仿宋_GB2312"/>
          <w:color w:val="auto"/>
          <w:sz w:val="32"/>
          <w:szCs w:val="32"/>
          <w:lang w:val="en-US" w:eastAsia="zh-CN"/>
        </w:rPr>
        <w:t>3339.8</w:t>
      </w:r>
      <w:r>
        <w:rPr>
          <w:rFonts w:hint="eastAsia" w:ascii="仿宋_GB2312" w:hAnsi="仿宋" w:eastAsia="仿宋_GB2312"/>
          <w:color w:val="auto"/>
          <w:sz w:val="32"/>
          <w:szCs w:val="32"/>
        </w:rPr>
        <w:t>万元，与上年相比增加</w:t>
      </w:r>
      <w:r>
        <w:rPr>
          <w:rFonts w:hint="eastAsia" w:ascii="仿宋_GB2312" w:hAnsi="仿宋" w:eastAsia="仿宋_GB2312"/>
          <w:color w:val="auto"/>
          <w:sz w:val="32"/>
          <w:szCs w:val="32"/>
          <w:lang w:val="en-US" w:eastAsia="zh-CN"/>
        </w:rPr>
        <w:t>167.45</w:t>
      </w:r>
      <w:r>
        <w:rPr>
          <w:rFonts w:hint="eastAsia" w:ascii="仿宋_GB2312" w:hAnsi="仿宋" w:eastAsia="仿宋_GB2312"/>
          <w:color w:val="auto"/>
          <w:sz w:val="32"/>
          <w:szCs w:val="32"/>
        </w:rPr>
        <w:t>万元，同比增长</w:t>
      </w:r>
      <w:r>
        <w:rPr>
          <w:rFonts w:hint="eastAsia" w:ascii="仿宋_GB2312" w:hAnsi="仿宋" w:eastAsia="仿宋_GB2312"/>
          <w:color w:val="auto"/>
          <w:sz w:val="32"/>
          <w:szCs w:val="32"/>
          <w:lang w:val="en-US" w:eastAsia="zh-CN"/>
        </w:rPr>
        <w:t>5.28</w:t>
      </w:r>
      <w:r>
        <w:rPr>
          <w:rFonts w:hint="eastAsia" w:ascii="仿宋_GB2312" w:hAnsi="仿宋" w:eastAsia="仿宋_GB2312"/>
          <w:color w:val="auto"/>
          <w:sz w:val="32"/>
          <w:szCs w:val="32"/>
        </w:rPr>
        <w:t>%；其他收入</w:t>
      </w:r>
      <w:r>
        <w:rPr>
          <w:rFonts w:hint="eastAsia" w:ascii="仿宋_GB2312" w:hAnsi="仿宋" w:eastAsia="仿宋_GB2312"/>
          <w:color w:val="auto"/>
          <w:sz w:val="32"/>
          <w:szCs w:val="32"/>
          <w:lang w:val="en-US" w:eastAsia="zh-CN"/>
        </w:rPr>
        <w:t>0.51</w:t>
      </w:r>
      <w:r>
        <w:rPr>
          <w:rFonts w:hint="eastAsia" w:ascii="仿宋_GB2312" w:hAnsi="仿宋" w:eastAsia="仿宋_GB2312"/>
          <w:color w:val="auto"/>
          <w:sz w:val="32"/>
          <w:szCs w:val="32"/>
        </w:rPr>
        <w:t>万元，与上年相比减少</w:t>
      </w:r>
      <w:r>
        <w:rPr>
          <w:rFonts w:hint="eastAsia" w:ascii="仿宋_GB2312" w:hAnsi="仿宋" w:eastAsia="仿宋_GB2312"/>
          <w:color w:val="auto"/>
          <w:sz w:val="32"/>
          <w:szCs w:val="32"/>
          <w:lang w:val="en-US" w:eastAsia="zh-CN"/>
        </w:rPr>
        <w:t>0.16</w:t>
      </w:r>
      <w:r>
        <w:rPr>
          <w:rFonts w:hint="eastAsia" w:ascii="仿宋_GB2312" w:hAnsi="仿宋" w:eastAsia="仿宋_GB2312"/>
          <w:color w:val="auto"/>
          <w:sz w:val="32"/>
          <w:szCs w:val="32"/>
        </w:rPr>
        <w:t>万元，同比下降</w:t>
      </w:r>
      <w:r>
        <w:rPr>
          <w:rFonts w:hint="eastAsia" w:ascii="仿宋_GB2312" w:hAnsi="仿宋" w:eastAsia="仿宋_GB2312"/>
          <w:color w:val="auto"/>
          <w:sz w:val="32"/>
          <w:szCs w:val="32"/>
          <w:lang w:val="en-US" w:eastAsia="zh-CN"/>
        </w:rPr>
        <w:t>24.06</w:t>
      </w:r>
      <w:r>
        <w:rPr>
          <w:rFonts w:hint="eastAsia" w:ascii="仿宋_GB2312" w:hAnsi="仿宋" w:eastAsia="仿宋_GB2312"/>
          <w:color w:val="auto"/>
          <w:sz w:val="32"/>
          <w:szCs w:val="32"/>
        </w:rPr>
        <w:t>%。</w:t>
      </w:r>
    </w:p>
    <w:p>
      <w:pPr>
        <w:snapToGrid w:val="0"/>
        <w:spacing w:line="240" w:lineRule="auto"/>
        <w:ind w:firstLine="640" w:firstLineChars="200"/>
        <w:rPr>
          <w:rFonts w:hint="eastAsia" w:ascii="仿宋_GB2312" w:hAnsi="仿宋" w:eastAsia="仿宋_GB2312"/>
          <w:color w:val="auto"/>
          <w:sz w:val="32"/>
          <w:szCs w:val="32"/>
        </w:rPr>
      </w:pPr>
    </w:p>
    <w:p>
      <w:pPr>
        <w:snapToGrid w:val="0"/>
        <w:spacing w:line="240" w:lineRule="auto"/>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rPr>
        <w:t>本年支出</w:t>
      </w:r>
      <w:r>
        <w:rPr>
          <w:rFonts w:hint="eastAsia" w:ascii="仿宋_GB2312" w:hAnsi="仿宋" w:eastAsia="仿宋_GB2312"/>
          <w:color w:val="auto"/>
          <w:sz w:val="32"/>
          <w:szCs w:val="32"/>
          <w:lang w:val="en-US" w:eastAsia="zh-CN"/>
        </w:rPr>
        <w:t>3355.11</w:t>
      </w:r>
      <w:r>
        <w:rPr>
          <w:rFonts w:hint="eastAsia" w:ascii="仿宋_GB2312" w:hAnsi="仿宋" w:eastAsia="仿宋_GB2312"/>
          <w:color w:val="auto"/>
          <w:sz w:val="32"/>
          <w:szCs w:val="32"/>
        </w:rPr>
        <w:t>万元，与上年相比增加</w:t>
      </w:r>
      <w:r>
        <w:rPr>
          <w:rFonts w:hint="eastAsia" w:ascii="仿宋_GB2312" w:hAnsi="仿宋" w:eastAsia="仿宋_GB2312"/>
          <w:color w:val="auto"/>
          <w:sz w:val="32"/>
          <w:szCs w:val="32"/>
          <w:lang w:val="en-US" w:eastAsia="zh-CN"/>
        </w:rPr>
        <w:t>161.53</w:t>
      </w:r>
      <w:r>
        <w:rPr>
          <w:rFonts w:hint="eastAsia" w:ascii="仿宋_GB2312" w:hAnsi="仿宋" w:eastAsia="仿宋_GB2312"/>
          <w:color w:val="auto"/>
          <w:sz w:val="32"/>
          <w:szCs w:val="32"/>
        </w:rPr>
        <w:t>万元，同比增长</w:t>
      </w:r>
      <w:r>
        <w:rPr>
          <w:rFonts w:hint="eastAsia" w:ascii="仿宋_GB2312" w:hAnsi="仿宋" w:eastAsia="仿宋_GB2312"/>
          <w:color w:val="auto"/>
          <w:sz w:val="32"/>
          <w:szCs w:val="32"/>
          <w:lang w:val="en-US" w:eastAsia="zh-CN"/>
        </w:rPr>
        <w:t>5.06</w:t>
      </w:r>
      <w:r>
        <w:rPr>
          <w:rFonts w:hint="eastAsia" w:ascii="仿宋_GB2312" w:hAnsi="仿宋" w:eastAsia="仿宋_GB2312"/>
          <w:color w:val="auto"/>
          <w:sz w:val="32"/>
          <w:szCs w:val="32"/>
        </w:rPr>
        <w:t>%，其中：基本支出</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val="en-US" w:eastAsia="zh-CN"/>
        </w:rPr>
        <w:t>,</w:t>
      </w:r>
    </w:p>
    <w:p>
      <w:pPr>
        <w:snapToGrid w:val="0"/>
        <w:spacing w:line="240" w:lineRule="auto"/>
        <w:ind w:firstLine="420" w:firstLineChars="200"/>
        <w:rPr>
          <w:rFonts w:hint="default" w:ascii="仿宋_GB2312" w:hAnsi="仿宋" w:eastAsia="仿宋_GB2312"/>
          <w:color w:val="auto"/>
          <w:sz w:val="32"/>
          <w:szCs w:val="32"/>
          <w:lang w:val="en-US" w:eastAsia="zh-CN"/>
        </w:rPr>
      </w:pPr>
      <w:r>
        <w:rPr>
          <w:color w:val="auto"/>
        </w:rPr>
        <w:drawing>
          <wp:inline distT="0" distB="0" distL="114300" distR="114300">
            <wp:extent cx="4600575" cy="2790825"/>
            <wp:effectExtent l="4445" t="5080" r="5080" b="4445"/>
            <wp:docPr id="8"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hint="eastAsia" w:ascii="仿宋_GB2312" w:hAnsi="仿宋" w:eastAsia="仿宋_GB2312"/>
          <w:color w:val="auto"/>
          <w:sz w:val="32"/>
          <w:szCs w:val="32"/>
        </w:rPr>
        <w:t>与上年相比</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215.79</w:t>
      </w:r>
      <w:r>
        <w:rPr>
          <w:rFonts w:hint="eastAsia" w:ascii="仿宋_GB2312" w:hAnsi="仿宋" w:eastAsia="仿宋_GB2312"/>
          <w:color w:val="auto"/>
          <w:sz w:val="32"/>
          <w:szCs w:val="32"/>
        </w:rPr>
        <w:t>万元，同比</w:t>
      </w:r>
      <w:r>
        <w:rPr>
          <w:rFonts w:hint="eastAsia" w:ascii="仿宋_GB2312" w:hAnsi="仿宋" w:eastAsia="仿宋_GB2312"/>
          <w:color w:val="auto"/>
          <w:sz w:val="32"/>
          <w:szCs w:val="32"/>
          <w:lang w:eastAsia="zh-CN"/>
        </w:rPr>
        <w:t>上升</w:t>
      </w:r>
      <w:r>
        <w:rPr>
          <w:rFonts w:hint="eastAsia" w:ascii="仿宋_GB2312" w:hAnsi="仿宋" w:eastAsia="仿宋_GB2312"/>
          <w:color w:val="auto"/>
          <w:sz w:val="32"/>
          <w:szCs w:val="32"/>
          <w:lang w:val="en-US" w:eastAsia="zh-CN"/>
        </w:rPr>
        <w:t>10.6</w:t>
      </w:r>
      <w:r>
        <w:rPr>
          <w:rFonts w:hint="eastAsia" w:ascii="仿宋_GB2312" w:hAnsi="仿宋" w:eastAsia="仿宋_GB2312"/>
          <w:color w:val="auto"/>
          <w:sz w:val="32"/>
          <w:szCs w:val="32"/>
        </w:rPr>
        <w:t>%；项目支出</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万元，与上年相比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54.27</w:t>
      </w:r>
      <w:r>
        <w:rPr>
          <w:rFonts w:hint="eastAsia" w:ascii="仿宋_GB2312" w:hAnsi="仿宋" w:eastAsia="仿宋_GB2312"/>
          <w:color w:val="auto"/>
          <w:sz w:val="32"/>
          <w:szCs w:val="32"/>
          <w:lang w:eastAsia="zh-CN"/>
        </w:rPr>
        <w:t>万元，同比下降</w:t>
      </w:r>
      <w:r>
        <w:rPr>
          <w:rFonts w:hint="eastAsia" w:ascii="仿宋_GB2312" w:hAnsi="仿宋" w:eastAsia="仿宋_GB2312"/>
          <w:color w:val="auto"/>
          <w:sz w:val="32"/>
          <w:szCs w:val="32"/>
          <w:lang w:val="en-US" w:eastAsia="zh-CN"/>
        </w:rPr>
        <w:t>4.69%。</w:t>
      </w:r>
    </w:p>
    <w:p>
      <w:p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工资福利支出</w:t>
      </w:r>
      <w:r>
        <w:rPr>
          <w:rFonts w:hint="eastAsia" w:ascii="仿宋_GB2312" w:hAnsi="仿宋" w:eastAsia="仿宋_GB2312"/>
          <w:color w:val="auto"/>
          <w:sz w:val="32"/>
          <w:szCs w:val="32"/>
          <w:lang w:val="en-US" w:eastAsia="zh-CN"/>
        </w:rPr>
        <w:t>2673.72</w:t>
      </w:r>
      <w:r>
        <w:rPr>
          <w:rFonts w:hint="eastAsia" w:ascii="仿宋_GB2312" w:hAnsi="仿宋" w:eastAsia="仿宋_GB2312"/>
          <w:color w:val="auto"/>
          <w:sz w:val="32"/>
          <w:szCs w:val="32"/>
        </w:rPr>
        <w:t>万元，与上年相比</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206.83</w:t>
      </w:r>
      <w:r>
        <w:rPr>
          <w:rFonts w:hint="eastAsia" w:ascii="仿宋_GB2312" w:hAnsi="仿宋" w:eastAsia="仿宋_GB2312"/>
          <w:color w:val="auto"/>
          <w:sz w:val="32"/>
          <w:szCs w:val="32"/>
        </w:rPr>
        <w:t>万元，同比</w:t>
      </w:r>
      <w:r>
        <w:rPr>
          <w:rFonts w:hint="eastAsia" w:ascii="仿宋_GB2312" w:hAnsi="仿宋" w:eastAsia="仿宋_GB2312"/>
          <w:color w:val="auto"/>
          <w:sz w:val="32"/>
          <w:szCs w:val="32"/>
          <w:lang w:eastAsia="zh-CN"/>
        </w:rPr>
        <w:t>上升</w:t>
      </w:r>
      <w:r>
        <w:rPr>
          <w:rFonts w:hint="eastAsia" w:ascii="仿宋_GB2312" w:hAnsi="仿宋" w:eastAsia="仿宋_GB2312"/>
          <w:color w:val="auto"/>
          <w:sz w:val="32"/>
          <w:szCs w:val="32"/>
          <w:lang w:val="en-US" w:eastAsia="zh-CN"/>
        </w:rPr>
        <w:t>8.38</w:t>
      </w:r>
      <w:r>
        <w:rPr>
          <w:rFonts w:hint="eastAsia" w:ascii="仿宋_GB2312" w:hAnsi="仿宋" w:eastAsia="仿宋_GB2312"/>
          <w:color w:val="auto"/>
          <w:sz w:val="32"/>
          <w:szCs w:val="32"/>
        </w:rPr>
        <w:t>%，商品和服务支出</w:t>
      </w:r>
      <w:r>
        <w:rPr>
          <w:rFonts w:hint="eastAsia" w:ascii="仿宋_GB2312" w:hAnsi="仿宋" w:eastAsia="仿宋_GB2312"/>
          <w:color w:val="auto"/>
          <w:sz w:val="32"/>
          <w:szCs w:val="32"/>
          <w:lang w:val="en-US" w:eastAsia="zh-CN"/>
        </w:rPr>
        <w:t>559.2</w:t>
      </w:r>
      <w:r>
        <w:rPr>
          <w:rFonts w:hint="eastAsia" w:ascii="仿宋_GB2312" w:hAnsi="仿宋" w:eastAsia="仿宋_GB2312"/>
          <w:color w:val="auto"/>
          <w:sz w:val="32"/>
          <w:szCs w:val="32"/>
        </w:rPr>
        <w:t>万元，与上年相比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11.76</w:t>
      </w:r>
      <w:r>
        <w:rPr>
          <w:rFonts w:hint="eastAsia" w:ascii="仿宋_GB2312" w:hAnsi="仿宋" w:eastAsia="仿宋_GB2312"/>
          <w:color w:val="auto"/>
          <w:sz w:val="32"/>
          <w:szCs w:val="32"/>
        </w:rPr>
        <w:t>万元，同比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2.06</w:t>
      </w:r>
      <w:r>
        <w:rPr>
          <w:rFonts w:hint="eastAsia" w:ascii="仿宋_GB2312" w:hAnsi="仿宋" w:eastAsia="仿宋_GB2312"/>
          <w:color w:val="auto"/>
          <w:sz w:val="32"/>
          <w:szCs w:val="32"/>
        </w:rPr>
        <w:t>%，对个人和家庭的补助支出</w:t>
      </w:r>
      <w:r>
        <w:rPr>
          <w:rFonts w:hint="eastAsia" w:ascii="仿宋_GB2312" w:hAnsi="仿宋" w:eastAsia="仿宋_GB2312"/>
          <w:color w:val="auto"/>
          <w:sz w:val="32"/>
          <w:szCs w:val="32"/>
          <w:lang w:val="en-US" w:eastAsia="zh-CN"/>
        </w:rPr>
        <w:t>3.83</w:t>
      </w:r>
      <w:r>
        <w:rPr>
          <w:rFonts w:hint="eastAsia" w:ascii="仿宋_GB2312" w:hAnsi="仿宋" w:eastAsia="仿宋_GB2312"/>
          <w:color w:val="auto"/>
          <w:sz w:val="32"/>
          <w:szCs w:val="32"/>
        </w:rPr>
        <w:t>万元，与上年相比减少</w:t>
      </w:r>
      <w:r>
        <w:rPr>
          <w:rFonts w:hint="eastAsia" w:ascii="仿宋_GB2312" w:hAnsi="仿宋" w:eastAsia="仿宋_GB2312"/>
          <w:color w:val="auto"/>
          <w:sz w:val="32"/>
          <w:szCs w:val="32"/>
          <w:lang w:val="en-US" w:eastAsia="zh-CN"/>
        </w:rPr>
        <w:t>6.12</w:t>
      </w:r>
      <w:r>
        <w:rPr>
          <w:rFonts w:hint="eastAsia" w:ascii="仿宋_GB2312" w:hAnsi="仿宋" w:eastAsia="仿宋_GB2312"/>
          <w:color w:val="auto"/>
          <w:sz w:val="32"/>
          <w:szCs w:val="32"/>
        </w:rPr>
        <w:t>万元，同比下降</w:t>
      </w:r>
      <w:r>
        <w:rPr>
          <w:rFonts w:hint="eastAsia" w:ascii="仿宋_GB2312" w:hAnsi="仿宋" w:eastAsia="仿宋_GB2312"/>
          <w:color w:val="auto"/>
          <w:sz w:val="32"/>
          <w:szCs w:val="32"/>
          <w:lang w:val="en-US" w:eastAsia="zh-CN"/>
        </w:rPr>
        <w:t>61.49</w:t>
      </w:r>
      <w:r>
        <w:rPr>
          <w:rFonts w:hint="eastAsia" w:ascii="仿宋_GB2312" w:hAnsi="仿宋" w:eastAsia="仿宋_GB2312"/>
          <w:color w:val="auto"/>
          <w:sz w:val="32"/>
          <w:szCs w:val="32"/>
        </w:rPr>
        <w:t>%，资本性支出</w:t>
      </w:r>
      <w:r>
        <w:rPr>
          <w:rFonts w:hint="eastAsia" w:ascii="仿宋_GB2312" w:hAnsi="仿宋" w:eastAsia="仿宋_GB2312"/>
          <w:color w:val="auto"/>
          <w:sz w:val="32"/>
          <w:szCs w:val="32"/>
          <w:lang w:val="en-US" w:eastAsia="zh-CN"/>
        </w:rPr>
        <w:t>118.36</w:t>
      </w:r>
      <w:r>
        <w:rPr>
          <w:rFonts w:hint="eastAsia" w:ascii="仿宋_GB2312" w:hAnsi="仿宋" w:eastAsia="仿宋_GB2312"/>
          <w:color w:val="auto"/>
          <w:sz w:val="32"/>
          <w:szCs w:val="32"/>
        </w:rPr>
        <w:t>万元，与上年相比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33.54</w:t>
      </w:r>
      <w:r>
        <w:rPr>
          <w:rFonts w:hint="eastAsia" w:ascii="仿宋_GB2312" w:hAnsi="仿宋" w:eastAsia="仿宋_GB2312"/>
          <w:color w:val="auto"/>
          <w:sz w:val="32"/>
          <w:szCs w:val="32"/>
        </w:rPr>
        <w:t>万元，同比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18.81</w:t>
      </w:r>
      <w:r>
        <w:rPr>
          <w:rFonts w:hint="eastAsia" w:ascii="仿宋_GB2312" w:hAnsi="仿宋" w:eastAsia="仿宋_GB2312"/>
          <w:color w:val="auto"/>
          <w:sz w:val="32"/>
          <w:szCs w:val="32"/>
        </w:rPr>
        <w:t>%。</w:t>
      </w:r>
    </w:p>
    <w:tbl>
      <w:tblPr>
        <w:tblStyle w:val="8"/>
        <w:tblpPr w:leftFromText="180" w:rightFromText="180" w:vertAnchor="text" w:horzAnchor="page" w:tblpX="1798" w:tblpY="491"/>
        <w:tblOverlap w:val="never"/>
        <w:tblW w:w="0" w:type="auto"/>
        <w:tblInd w:w="0" w:type="dxa"/>
        <w:tblLayout w:type="fixed"/>
        <w:tblCellMar>
          <w:top w:w="0" w:type="dxa"/>
          <w:left w:w="0" w:type="dxa"/>
          <w:bottom w:w="0" w:type="dxa"/>
          <w:right w:w="0" w:type="dxa"/>
        </w:tblCellMar>
      </w:tblPr>
      <w:tblGrid>
        <w:gridCol w:w="2860"/>
        <w:gridCol w:w="1842"/>
        <w:gridCol w:w="1848"/>
        <w:gridCol w:w="1786"/>
      </w:tblGrid>
      <w:tr>
        <w:tblPrEx>
          <w:tblCellMar>
            <w:top w:w="0" w:type="dxa"/>
            <w:left w:w="0" w:type="dxa"/>
            <w:bottom w:w="0" w:type="dxa"/>
            <w:right w:w="0" w:type="dxa"/>
          </w:tblCellMar>
        </w:tblPrEx>
        <w:trPr>
          <w:trHeight w:val="844" w:hRule="atLeast"/>
        </w:trPr>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支出明细</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2019年决算数（万元）</w:t>
            </w:r>
          </w:p>
        </w:tc>
        <w:tc>
          <w:tcPr>
            <w:tcW w:w="1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2020年决算数（万元）</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同比</w:t>
            </w:r>
          </w:p>
        </w:tc>
      </w:tr>
      <w:tr>
        <w:tblPrEx>
          <w:tblCellMar>
            <w:top w:w="0" w:type="dxa"/>
            <w:left w:w="0" w:type="dxa"/>
            <w:bottom w:w="0" w:type="dxa"/>
            <w:right w:w="0" w:type="dxa"/>
          </w:tblCellMar>
        </w:tblPrEx>
        <w:trPr>
          <w:trHeight w:val="540" w:hRule="atLeast"/>
        </w:trPr>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工资福利支出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sz w:val="24"/>
                <w:szCs w:val="24"/>
                <w:u w:val="none"/>
                <w:lang w:val="en-US" w:eastAsia="zh-CN"/>
              </w:rPr>
              <w:t>2466.89</w:t>
            </w:r>
          </w:p>
        </w:tc>
        <w:tc>
          <w:tcPr>
            <w:tcW w:w="1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_GB2312" w:hAnsi="仿宋" w:eastAsia="仿宋_GB2312"/>
                <w:color w:val="auto"/>
                <w:sz w:val="24"/>
                <w:szCs w:val="24"/>
                <w:lang w:val="en-US" w:eastAsia="zh-CN"/>
              </w:rPr>
              <w:t>2673.72</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sz w:val="24"/>
                <w:szCs w:val="24"/>
                <w:u w:val="none"/>
                <w:lang w:val="en-US" w:eastAsia="zh-CN"/>
              </w:rPr>
              <w:t>8.38</w:t>
            </w:r>
            <w:r>
              <w:rPr>
                <w:rFonts w:hint="eastAsia" w:ascii="仿宋" w:hAnsi="仿宋" w:eastAsia="仿宋" w:cs="仿宋"/>
                <w:i w:val="0"/>
                <w:color w:val="auto"/>
                <w:sz w:val="24"/>
                <w:szCs w:val="24"/>
                <w:u w:val="none"/>
              </w:rPr>
              <w:t>%</w:t>
            </w:r>
          </w:p>
        </w:tc>
      </w:tr>
      <w:tr>
        <w:tblPrEx>
          <w:tblCellMar>
            <w:top w:w="0" w:type="dxa"/>
            <w:left w:w="0" w:type="dxa"/>
            <w:bottom w:w="0" w:type="dxa"/>
            <w:right w:w="0" w:type="dxa"/>
          </w:tblCellMar>
        </w:tblPrEx>
        <w:trPr>
          <w:trHeight w:val="540" w:hRule="atLeast"/>
        </w:trPr>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商品和服务支出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sz w:val="24"/>
                <w:szCs w:val="24"/>
                <w:u w:val="none"/>
                <w:lang w:val="en-US" w:eastAsia="zh-CN"/>
              </w:rPr>
              <w:t>570.96</w:t>
            </w:r>
          </w:p>
        </w:tc>
        <w:tc>
          <w:tcPr>
            <w:tcW w:w="1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_GB2312" w:hAnsi="仿宋" w:eastAsia="仿宋_GB2312"/>
                <w:color w:val="auto"/>
                <w:sz w:val="24"/>
                <w:szCs w:val="24"/>
                <w:lang w:val="en-US" w:eastAsia="zh-CN"/>
              </w:rPr>
              <w:t>559.2</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-2.06%</w:t>
            </w:r>
          </w:p>
        </w:tc>
      </w:tr>
      <w:tr>
        <w:tblPrEx>
          <w:tblCellMar>
            <w:top w:w="0" w:type="dxa"/>
            <w:left w:w="0" w:type="dxa"/>
            <w:bottom w:w="0" w:type="dxa"/>
            <w:right w:w="0" w:type="dxa"/>
          </w:tblCellMar>
        </w:tblPrEx>
        <w:trPr>
          <w:trHeight w:val="585" w:hRule="atLeast"/>
        </w:trPr>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对个人和家庭的补助支出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sz w:val="24"/>
                <w:szCs w:val="24"/>
                <w:u w:val="none"/>
                <w:lang w:val="en-US" w:eastAsia="zh-CN"/>
              </w:rPr>
              <w:t>9.95</w:t>
            </w:r>
          </w:p>
        </w:tc>
        <w:tc>
          <w:tcPr>
            <w:tcW w:w="1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_GB2312" w:hAnsi="仿宋" w:eastAsia="仿宋_GB2312"/>
                <w:color w:val="auto"/>
                <w:sz w:val="24"/>
                <w:szCs w:val="24"/>
                <w:lang w:val="en-US" w:eastAsia="zh-CN"/>
              </w:rPr>
              <w:t>3.83</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-61.49%</w:t>
            </w:r>
          </w:p>
        </w:tc>
      </w:tr>
      <w:tr>
        <w:tblPrEx>
          <w:tblCellMar>
            <w:top w:w="0" w:type="dxa"/>
            <w:left w:w="0" w:type="dxa"/>
            <w:bottom w:w="0" w:type="dxa"/>
            <w:right w:w="0" w:type="dxa"/>
          </w:tblCellMar>
        </w:tblPrEx>
        <w:trPr>
          <w:trHeight w:val="595" w:hRule="atLeast"/>
        </w:trPr>
        <w:tc>
          <w:tcPr>
            <w:tcW w:w="2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资本性支出</w:t>
            </w:r>
          </w:p>
        </w:tc>
        <w:tc>
          <w:tcPr>
            <w:tcW w:w="184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4"/>
                <w:szCs w:val="24"/>
                <w:u w:val="none"/>
                <w:lang w:val="en-US"/>
              </w:rPr>
            </w:pPr>
            <w:r>
              <w:rPr>
                <w:rFonts w:hint="eastAsia" w:ascii="仿宋" w:hAnsi="仿宋" w:eastAsia="仿宋" w:cs="仿宋"/>
                <w:i w:val="0"/>
                <w:color w:val="auto"/>
                <w:sz w:val="24"/>
                <w:szCs w:val="24"/>
                <w:u w:val="none"/>
                <w:lang w:val="en-US" w:eastAsia="zh-CN"/>
              </w:rPr>
              <w:t>145.78</w:t>
            </w:r>
          </w:p>
        </w:tc>
        <w:tc>
          <w:tcPr>
            <w:tcW w:w="18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_GB2312" w:hAnsi="仿宋" w:eastAsia="仿宋_GB2312"/>
                <w:color w:val="auto"/>
                <w:sz w:val="24"/>
                <w:szCs w:val="24"/>
                <w:lang w:val="en-US" w:eastAsia="zh-CN"/>
              </w:rPr>
              <w:t>118.36</w:t>
            </w:r>
          </w:p>
        </w:tc>
        <w:tc>
          <w:tcPr>
            <w:tcW w:w="178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-18.81%</w:t>
            </w:r>
          </w:p>
        </w:tc>
      </w:tr>
    </w:tbl>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rPr>
          <w:rFonts w:hint="eastAsia" w:ascii="仿宋_GB2312" w:hAnsi="仿宋" w:eastAsia="仿宋_GB2312"/>
          <w:b/>
          <w:color w:val="auto"/>
          <w:sz w:val="32"/>
          <w:szCs w:val="32"/>
        </w:rPr>
      </w:pPr>
    </w:p>
    <w:p>
      <w:pPr>
        <w:snapToGrid w:val="0"/>
        <w:spacing w:line="520" w:lineRule="exact"/>
        <w:rPr>
          <w:rFonts w:hint="eastAsia" w:ascii="仿宋_GB2312" w:hAnsi="仿宋" w:eastAsia="仿宋_GB2312"/>
          <w:b/>
          <w:color w:val="auto"/>
          <w:sz w:val="32"/>
          <w:szCs w:val="32"/>
        </w:rPr>
      </w:pPr>
      <w:r>
        <w:rPr>
          <w:rFonts w:hint="eastAsia" w:ascii="仿宋_GB2312" w:hAnsi="仿宋" w:eastAsia="仿宋_GB2312"/>
          <w:b/>
          <w:color w:val="auto"/>
          <w:sz w:val="32"/>
          <w:szCs w:val="32"/>
        </w:rPr>
        <w:t>1．收入支出与预算对比分析。</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（1）预、决算差异情况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ascii="Calibri" w:hAnsi="Calibri" w:eastAsia="仿宋_GB2312" w:cs="Calibri"/>
          <w:color w:val="auto"/>
          <w:sz w:val="32"/>
          <w:szCs w:val="32"/>
        </w:rPr>
        <w:t>①</w:t>
      </w:r>
      <w:r>
        <w:rPr>
          <w:rFonts w:hint="eastAsia" w:ascii="仿宋_GB2312" w:hAnsi="仿宋_GB2312" w:eastAsia="仿宋_GB2312" w:cs="仿宋_GB2312"/>
          <w:color w:val="auto"/>
          <w:sz w:val="32"/>
          <w:szCs w:val="32"/>
        </w:rPr>
        <w:t>收入</w:t>
      </w:r>
      <w:r>
        <w:rPr>
          <w:rFonts w:hint="eastAsia" w:ascii="仿宋_GB2312" w:hAnsi="仿宋" w:eastAsia="仿宋_GB2312"/>
          <w:color w:val="auto"/>
          <w:sz w:val="32"/>
          <w:szCs w:val="32"/>
        </w:rPr>
        <w:t>预、决算差异情况</w:t>
      </w:r>
      <w:r>
        <w:rPr>
          <w:rFonts w:hint="eastAsia" w:ascii="仿宋_GB2312" w:hAnsi="仿宋" w:eastAsia="仿宋_GB2312"/>
          <w:color w:val="auto"/>
          <w:sz w:val="32"/>
          <w:szCs w:val="32"/>
          <w:lang w:val="en-US" w:eastAsia="zh-CN"/>
        </w:rPr>
        <w:t>(详见下表）</w:t>
      </w:r>
    </w:p>
    <w:tbl>
      <w:tblPr>
        <w:tblStyle w:val="8"/>
        <w:tblpPr w:leftFromText="180" w:rightFromText="180" w:vertAnchor="text" w:horzAnchor="page" w:tblpX="352" w:tblpY="569"/>
        <w:tblOverlap w:val="never"/>
        <w:tblW w:w="6494" w:type="pct"/>
        <w:tblInd w:w="0" w:type="dxa"/>
        <w:tblLayout w:type="autofit"/>
        <w:tblCellMar>
          <w:top w:w="0" w:type="dxa"/>
          <w:left w:w="0" w:type="dxa"/>
          <w:bottom w:w="0" w:type="dxa"/>
          <w:right w:w="0" w:type="dxa"/>
        </w:tblCellMar>
      </w:tblPr>
      <w:tblGrid>
        <w:gridCol w:w="779"/>
        <w:gridCol w:w="791"/>
        <w:gridCol w:w="528"/>
        <w:gridCol w:w="518"/>
        <w:gridCol w:w="520"/>
        <w:gridCol w:w="422"/>
        <w:gridCol w:w="808"/>
        <w:gridCol w:w="808"/>
        <w:gridCol w:w="522"/>
        <w:gridCol w:w="715"/>
        <w:gridCol w:w="732"/>
        <w:gridCol w:w="576"/>
        <w:gridCol w:w="531"/>
        <w:gridCol w:w="418"/>
        <w:gridCol w:w="418"/>
        <w:gridCol w:w="418"/>
        <w:gridCol w:w="418"/>
        <w:gridCol w:w="431"/>
        <w:gridCol w:w="474"/>
      </w:tblGrid>
      <w:tr>
        <w:tblPrEx>
          <w:tblCellMar>
            <w:top w:w="0" w:type="dxa"/>
            <w:left w:w="0" w:type="dxa"/>
            <w:bottom w:w="0" w:type="dxa"/>
            <w:right w:w="0" w:type="dxa"/>
          </w:tblCellMar>
        </w:tblPrEx>
        <w:trPr>
          <w:trHeight w:val="399" w:hRule="atLeast"/>
        </w:trPr>
        <w:tc>
          <w:tcPr>
            <w:tcW w:w="969" w:type="pct"/>
            <w:gridSpan w:val="3"/>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15"/>
                <w:szCs w:val="15"/>
                <w:u w:val="none"/>
                <w:lang w:val="en-US" w:eastAsia="zh-CN" w:bidi="ar"/>
              </w:rPr>
            </w:pPr>
          </w:p>
        </w:tc>
        <w:tc>
          <w:tcPr>
            <w:tcW w:w="4030" w:type="pct"/>
            <w:gridSpan w:val="16"/>
            <w:tcBorders>
              <w:top w:val="nil"/>
              <w:left w:val="nil"/>
              <w:bottom w:val="single" w:color="auto" w:sz="4" w:space="0"/>
              <w:right w:val="nil"/>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iCs w:val="0"/>
                <w:color w:val="auto"/>
                <w:kern w:val="0"/>
                <w:sz w:val="15"/>
                <w:szCs w:val="15"/>
                <w:u w:val="none"/>
                <w:lang w:val="en-US" w:eastAsia="zh-CN" w:bidi="ar"/>
              </w:rPr>
            </w:pPr>
            <w:r>
              <w:rPr>
                <w:rFonts w:hint="eastAsia" w:ascii="宋体" w:hAnsi="宋体" w:cs="宋体"/>
                <w:i w:val="0"/>
                <w:iCs w:val="0"/>
                <w:color w:val="auto"/>
                <w:kern w:val="0"/>
                <w:sz w:val="15"/>
                <w:szCs w:val="15"/>
                <w:u w:val="none"/>
                <w:lang w:val="en-US" w:eastAsia="zh-CN" w:bidi="ar"/>
              </w:rPr>
              <w:t>金额：万元</w:t>
            </w:r>
          </w:p>
        </w:tc>
      </w:tr>
      <w:tr>
        <w:tblPrEx>
          <w:tblCellMar>
            <w:top w:w="0" w:type="dxa"/>
            <w:left w:w="0" w:type="dxa"/>
            <w:bottom w:w="0" w:type="dxa"/>
            <w:right w:w="0" w:type="dxa"/>
          </w:tblCellMar>
        </w:tblPrEx>
        <w:trPr>
          <w:trHeight w:val="399" w:hRule="atLeast"/>
        </w:trPr>
        <w:tc>
          <w:tcPr>
            <w:tcW w:w="969" w:type="pct"/>
            <w:gridSpan w:val="3"/>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收入总计</w:t>
            </w:r>
          </w:p>
        </w:tc>
        <w:tc>
          <w:tcPr>
            <w:tcW w:w="4030" w:type="pct"/>
            <w:gridSpan w:val="16"/>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其中：</w:t>
            </w:r>
          </w:p>
        </w:tc>
      </w:tr>
      <w:tr>
        <w:tblPrEx>
          <w:tblCellMar>
            <w:top w:w="0" w:type="dxa"/>
            <w:left w:w="0" w:type="dxa"/>
            <w:bottom w:w="0" w:type="dxa"/>
            <w:right w:w="0" w:type="dxa"/>
          </w:tblCellMar>
        </w:tblPrEx>
        <w:trPr>
          <w:trHeight w:val="664" w:hRule="atLeast"/>
        </w:trPr>
        <w:tc>
          <w:tcPr>
            <w:tcW w:w="36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36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24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67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年初结转和结余</w:t>
            </w:r>
          </w:p>
        </w:tc>
        <w:tc>
          <w:tcPr>
            <w:tcW w:w="987"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本年收入</w:t>
            </w:r>
          </w:p>
        </w:tc>
        <w:tc>
          <w:tcPr>
            <w:tcW w:w="2368" w:type="pct"/>
            <w:gridSpan w:val="10"/>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其中：</w:t>
            </w:r>
          </w:p>
        </w:tc>
      </w:tr>
      <w:tr>
        <w:tblPrEx>
          <w:tblCellMar>
            <w:top w:w="0" w:type="dxa"/>
            <w:left w:w="0" w:type="dxa"/>
            <w:bottom w:w="0" w:type="dxa"/>
            <w:right w:w="0" w:type="dxa"/>
          </w:tblCellMar>
        </w:tblPrEx>
        <w:trPr>
          <w:trHeight w:val="369" w:hRule="atLeast"/>
        </w:trPr>
        <w:tc>
          <w:tcPr>
            <w:tcW w:w="3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39"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24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19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3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37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24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934"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财政拨款</w:t>
            </w:r>
          </w:p>
        </w:tc>
        <w:tc>
          <w:tcPr>
            <w:tcW w:w="1434" w:type="pct"/>
            <w:gridSpan w:val="7"/>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非财政拨款</w:t>
            </w:r>
          </w:p>
        </w:tc>
      </w:tr>
      <w:tr>
        <w:tblPrEx>
          <w:tblCellMar>
            <w:top w:w="0" w:type="dxa"/>
            <w:left w:w="0" w:type="dxa"/>
            <w:bottom w:w="0" w:type="dxa"/>
            <w:right w:w="0" w:type="dxa"/>
          </w:tblCellMar>
        </w:tblPrEx>
        <w:trPr>
          <w:trHeight w:val="369" w:hRule="atLeast"/>
        </w:trPr>
        <w:tc>
          <w:tcPr>
            <w:tcW w:w="3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33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266"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245"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19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19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803"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其中：</w:t>
            </w:r>
          </w:p>
        </w:tc>
      </w:tr>
      <w:tr>
        <w:tblPrEx>
          <w:tblCellMar>
            <w:top w:w="0" w:type="dxa"/>
            <w:left w:w="0" w:type="dxa"/>
            <w:bottom w:w="0" w:type="dxa"/>
            <w:right w:w="0" w:type="dxa"/>
          </w:tblCellMar>
        </w:tblPrEx>
        <w:trPr>
          <w:trHeight w:val="1255" w:hRule="atLeast"/>
        </w:trPr>
        <w:tc>
          <w:tcPr>
            <w:tcW w:w="3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585" w:type="pct"/>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事业收入</w:t>
            </w: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经营收入</w:t>
            </w:r>
          </w:p>
        </w:tc>
      </w:tr>
      <w:tr>
        <w:tblPrEx>
          <w:tblCellMar>
            <w:top w:w="0" w:type="dxa"/>
            <w:left w:w="0" w:type="dxa"/>
            <w:bottom w:w="0" w:type="dxa"/>
            <w:right w:w="0" w:type="dxa"/>
          </w:tblCellMar>
        </w:tblPrEx>
        <w:trPr>
          <w:trHeight w:val="1550" w:hRule="atLeast"/>
        </w:trPr>
        <w:tc>
          <w:tcPr>
            <w:tcW w:w="36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6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39"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7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33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66"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245"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8"/>
                <w:szCs w:val="8"/>
                <w:u w:val="none"/>
              </w:rPr>
            </w:pP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决算数</w:t>
            </w:r>
          </w:p>
        </w:tc>
        <w:tc>
          <w:tcPr>
            <w:tcW w:w="1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差异率%</w:t>
            </w: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年初预算数</w:t>
            </w:r>
          </w:p>
        </w:tc>
      </w:tr>
      <w:tr>
        <w:tblPrEx>
          <w:tblCellMar>
            <w:top w:w="0" w:type="dxa"/>
            <w:left w:w="0" w:type="dxa"/>
            <w:bottom w:w="0" w:type="dxa"/>
            <w:right w:w="0" w:type="dxa"/>
          </w:tblCellMar>
        </w:tblPrEx>
        <w:trPr>
          <w:trHeight w:val="369" w:hRule="atLeast"/>
        </w:trPr>
        <w:tc>
          <w:tcPr>
            <w:tcW w:w="36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w:t>
            </w:r>
          </w:p>
        </w:tc>
        <w:tc>
          <w:tcPr>
            <w:tcW w:w="36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sz w:val="13"/>
                <w:szCs w:val="16"/>
              </w:rPr>
            </w:pPr>
            <w:r>
              <w:rPr>
                <w:rFonts w:hint="eastAsia" w:ascii="宋体" w:hAnsi="宋体" w:eastAsia="宋体" w:cs="宋体"/>
                <w:i w:val="0"/>
                <w:iCs w:val="0"/>
                <w:color w:val="auto"/>
                <w:kern w:val="0"/>
                <w:sz w:val="15"/>
                <w:szCs w:val="15"/>
                <w:u w:val="none"/>
                <w:lang w:val="en-US" w:eastAsia="zh-CN" w:bidi="ar"/>
              </w:rPr>
              <w:t>2</w:t>
            </w:r>
          </w:p>
        </w:tc>
        <w:tc>
          <w:tcPr>
            <w:tcW w:w="24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3</w:t>
            </w:r>
          </w:p>
        </w:tc>
        <w:tc>
          <w:tcPr>
            <w:tcW w:w="23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4</w:t>
            </w:r>
          </w:p>
        </w:tc>
        <w:tc>
          <w:tcPr>
            <w:tcW w:w="24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5</w:t>
            </w:r>
          </w:p>
        </w:tc>
        <w:tc>
          <w:tcPr>
            <w:tcW w:w="19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6</w:t>
            </w:r>
          </w:p>
        </w:tc>
        <w:tc>
          <w:tcPr>
            <w:tcW w:w="3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7</w:t>
            </w:r>
          </w:p>
        </w:tc>
        <w:tc>
          <w:tcPr>
            <w:tcW w:w="3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8</w:t>
            </w:r>
          </w:p>
        </w:tc>
        <w:tc>
          <w:tcPr>
            <w:tcW w:w="24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9</w:t>
            </w:r>
          </w:p>
        </w:tc>
        <w:tc>
          <w:tcPr>
            <w:tcW w:w="3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10</w:t>
            </w:r>
          </w:p>
        </w:tc>
        <w:tc>
          <w:tcPr>
            <w:tcW w:w="33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11</w:t>
            </w:r>
          </w:p>
        </w:tc>
        <w:tc>
          <w:tcPr>
            <w:tcW w:w="266"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12</w:t>
            </w:r>
          </w:p>
        </w:tc>
        <w:tc>
          <w:tcPr>
            <w:tcW w:w="24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13</w:t>
            </w: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14</w:t>
            </w: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15</w:t>
            </w: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16</w:t>
            </w:r>
          </w:p>
        </w:tc>
        <w:tc>
          <w:tcPr>
            <w:tcW w:w="19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17</w:t>
            </w:r>
          </w:p>
        </w:tc>
        <w:tc>
          <w:tcPr>
            <w:tcW w:w="19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18</w:t>
            </w:r>
          </w:p>
        </w:tc>
        <w:tc>
          <w:tcPr>
            <w:tcW w:w="21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19</w:t>
            </w:r>
          </w:p>
        </w:tc>
      </w:tr>
      <w:tr>
        <w:tblPrEx>
          <w:tblCellMar>
            <w:top w:w="0" w:type="dxa"/>
            <w:left w:w="0" w:type="dxa"/>
            <w:bottom w:w="0" w:type="dxa"/>
            <w:right w:w="0" w:type="dxa"/>
          </w:tblCellMar>
        </w:tblPrEx>
        <w:trPr>
          <w:trHeight w:val="694" w:hRule="atLeast"/>
        </w:trPr>
        <w:tc>
          <w:tcPr>
            <w:tcW w:w="36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2,996.64</w:t>
            </w:r>
          </w:p>
        </w:tc>
        <w:tc>
          <w:tcPr>
            <w:tcW w:w="36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3,397.97</w:t>
            </w:r>
          </w:p>
        </w:tc>
        <w:tc>
          <w:tcPr>
            <w:tcW w:w="24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13.39</w:t>
            </w:r>
          </w:p>
        </w:tc>
        <w:tc>
          <w:tcPr>
            <w:tcW w:w="23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57.67</w:t>
            </w:r>
          </w:p>
        </w:tc>
        <w:tc>
          <w:tcPr>
            <w:tcW w:w="24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57.67</w:t>
            </w:r>
          </w:p>
        </w:tc>
        <w:tc>
          <w:tcPr>
            <w:tcW w:w="194"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2,938.97</w:t>
            </w:r>
          </w:p>
        </w:tc>
        <w:tc>
          <w:tcPr>
            <w:tcW w:w="3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3,340.30</w:t>
            </w:r>
          </w:p>
        </w:tc>
        <w:tc>
          <w:tcPr>
            <w:tcW w:w="241"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13.66</w:t>
            </w:r>
          </w:p>
        </w:tc>
        <w:tc>
          <w:tcPr>
            <w:tcW w:w="33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2,938.97</w:t>
            </w:r>
          </w:p>
        </w:tc>
        <w:tc>
          <w:tcPr>
            <w:tcW w:w="33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8"/>
                <w:szCs w:val="8"/>
                <w:u w:val="none"/>
                <w:lang w:val="en-US"/>
              </w:rPr>
            </w:pPr>
            <w:r>
              <w:rPr>
                <w:rFonts w:hint="eastAsia" w:ascii="宋体" w:hAnsi="宋体" w:eastAsia="宋体" w:cs="宋体"/>
                <w:i w:val="0"/>
                <w:iCs w:val="0"/>
                <w:color w:val="auto"/>
                <w:kern w:val="0"/>
                <w:sz w:val="15"/>
                <w:szCs w:val="15"/>
                <w:u w:val="none"/>
                <w:lang w:val="en-US" w:eastAsia="zh-CN" w:bidi="ar"/>
              </w:rPr>
              <w:t>3,339.80</w:t>
            </w:r>
          </w:p>
        </w:tc>
        <w:tc>
          <w:tcPr>
            <w:tcW w:w="266"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13.64</w:t>
            </w:r>
          </w:p>
        </w:tc>
        <w:tc>
          <w:tcPr>
            <w:tcW w:w="245"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1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0.51</w:t>
            </w:r>
          </w:p>
        </w:tc>
        <w:tc>
          <w:tcPr>
            <w:tcW w:w="1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1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19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199"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c>
          <w:tcPr>
            <w:tcW w:w="217"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8"/>
                <w:szCs w:val="8"/>
                <w:u w:val="none"/>
              </w:rPr>
            </w:pPr>
            <w:r>
              <w:rPr>
                <w:rFonts w:hint="eastAsia" w:ascii="宋体" w:hAnsi="宋体" w:eastAsia="宋体" w:cs="宋体"/>
                <w:i w:val="0"/>
                <w:iCs w:val="0"/>
                <w:color w:val="auto"/>
                <w:kern w:val="0"/>
                <w:sz w:val="15"/>
                <w:szCs w:val="15"/>
                <w:u w:val="none"/>
                <w:lang w:val="en-US" w:eastAsia="zh-CN" w:bidi="ar"/>
              </w:rPr>
              <w:t>0.00</w:t>
            </w:r>
          </w:p>
        </w:tc>
      </w:tr>
    </w:tbl>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收入总计年初预算数</w:t>
      </w:r>
      <w:r>
        <w:rPr>
          <w:rFonts w:hint="eastAsia" w:ascii="仿宋_GB2312" w:hAnsi="仿宋" w:eastAsia="仿宋_GB2312"/>
          <w:color w:val="auto"/>
          <w:sz w:val="32"/>
          <w:szCs w:val="32"/>
          <w:lang w:val="en-US" w:eastAsia="zh-CN"/>
        </w:rPr>
        <w:t>2996.64</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3397.97</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13.39</w:t>
      </w:r>
      <w:r>
        <w:rPr>
          <w:rFonts w:hint="eastAsia" w:ascii="仿宋_GB2312" w:hAnsi="仿宋" w:eastAsia="仿宋_GB2312"/>
          <w:color w:val="auto"/>
          <w:sz w:val="32"/>
          <w:szCs w:val="32"/>
        </w:rPr>
        <w:t>%，其中：年初结转和结余年初预算数</w:t>
      </w:r>
      <w:r>
        <w:rPr>
          <w:rFonts w:hint="eastAsia" w:ascii="仿宋_GB2312" w:hAnsi="仿宋" w:eastAsia="仿宋_GB2312"/>
          <w:color w:val="auto"/>
          <w:sz w:val="32"/>
          <w:szCs w:val="32"/>
          <w:lang w:val="en-US" w:eastAsia="zh-CN"/>
        </w:rPr>
        <w:t>57.67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57.67</w:t>
      </w:r>
      <w:r>
        <w:rPr>
          <w:rFonts w:hint="eastAsia" w:ascii="仿宋_GB2312" w:hAnsi="仿宋" w:eastAsia="仿宋_GB2312"/>
          <w:color w:val="auto"/>
          <w:sz w:val="32"/>
          <w:szCs w:val="32"/>
        </w:rPr>
        <w:t>万元，差异率0；本年收入年初预算数</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3340.3</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13.66</w:t>
      </w:r>
      <w:r>
        <w:rPr>
          <w:rFonts w:hint="eastAsia" w:ascii="仿宋_GB2312" w:hAnsi="仿宋"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仿宋" w:eastAsia="仿宋_GB2312"/>
          <w:color w:val="auto"/>
          <w:sz w:val="32"/>
          <w:szCs w:val="32"/>
        </w:rPr>
      </w:pPr>
      <w:r>
        <w:rPr>
          <w:color w:val="auto"/>
        </w:rPr>
        <w:drawing>
          <wp:inline distT="0" distB="0" distL="114300" distR="114300">
            <wp:extent cx="4410075" cy="2705100"/>
            <wp:effectExtent l="4445" t="5080" r="5080" b="13970"/>
            <wp:docPr id="15"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本年收入年初预算数</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3340.3</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13.66</w:t>
      </w:r>
      <w:r>
        <w:rPr>
          <w:rFonts w:hint="eastAsia" w:ascii="仿宋_GB2312" w:hAnsi="仿宋" w:eastAsia="仿宋_GB2312"/>
          <w:color w:val="auto"/>
          <w:sz w:val="32"/>
          <w:szCs w:val="32"/>
        </w:rPr>
        <w:t>%，其中：财政拨款收入年初预算数</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3339.8</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13.64</w:t>
      </w:r>
      <w:r>
        <w:rPr>
          <w:rFonts w:hint="eastAsia" w:ascii="仿宋_GB2312" w:hAnsi="仿宋" w:eastAsia="仿宋_GB2312"/>
          <w:color w:val="auto"/>
          <w:sz w:val="32"/>
          <w:szCs w:val="32"/>
        </w:rPr>
        <w:t>%；非财政拨款其他收入决算数0.</w:t>
      </w:r>
      <w:r>
        <w:rPr>
          <w:rFonts w:hint="eastAsia" w:ascii="仿宋_GB2312" w:hAnsi="仿宋" w:eastAsia="仿宋_GB2312"/>
          <w:color w:val="auto"/>
          <w:sz w:val="32"/>
          <w:szCs w:val="32"/>
          <w:lang w:val="en-US" w:eastAsia="zh-CN"/>
        </w:rPr>
        <w:t>51</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w:t>
      </w: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ascii="Calibri" w:hAnsi="Calibri" w:eastAsia="仿宋_GB2312" w:cs="Calibri"/>
          <w:color w:val="auto"/>
          <w:sz w:val="32"/>
          <w:szCs w:val="32"/>
        </w:rPr>
      </w:pP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ascii="Calibri" w:hAnsi="Calibri" w:eastAsia="仿宋_GB2312" w:cs="Calibri"/>
          <w:color w:val="auto"/>
          <w:sz w:val="32"/>
          <w:szCs w:val="32"/>
        </w:rPr>
        <w:t>②</w:t>
      </w:r>
      <w:r>
        <w:rPr>
          <w:rFonts w:hint="eastAsia" w:ascii="Calibri" w:hAnsi="Calibri" w:eastAsia="仿宋_GB2312" w:cs="Calibri"/>
          <w:color w:val="auto"/>
          <w:sz w:val="32"/>
          <w:szCs w:val="32"/>
        </w:rPr>
        <w:t>支出</w:t>
      </w:r>
      <w:r>
        <w:rPr>
          <w:rFonts w:hint="eastAsia" w:ascii="仿宋_GB2312" w:hAnsi="仿宋" w:eastAsia="仿宋_GB2312"/>
          <w:color w:val="auto"/>
          <w:sz w:val="32"/>
          <w:szCs w:val="32"/>
        </w:rPr>
        <w:t>预、决算差异情况</w:t>
      </w:r>
      <w:r>
        <w:rPr>
          <w:rFonts w:hint="eastAsia" w:ascii="仿宋_GB2312" w:hAnsi="仿宋" w:eastAsia="仿宋_GB2312"/>
          <w:color w:val="auto"/>
          <w:sz w:val="32"/>
          <w:szCs w:val="32"/>
          <w:lang w:val="en-US" w:eastAsia="zh-CN"/>
        </w:rPr>
        <w:t>(详见下表）</w:t>
      </w:r>
    </w:p>
    <w:tbl>
      <w:tblPr>
        <w:tblStyle w:val="8"/>
        <w:tblpPr w:leftFromText="180" w:rightFromText="180" w:vertAnchor="text" w:horzAnchor="page" w:tblpX="307" w:tblpY="430"/>
        <w:tblOverlap w:val="never"/>
        <w:tblW w:w="6717" w:type="pct"/>
        <w:tblInd w:w="0" w:type="dxa"/>
        <w:shd w:val="clear" w:color="auto" w:fill="auto"/>
        <w:tblLayout w:type="autofit"/>
        <w:tblCellMar>
          <w:top w:w="0" w:type="dxa"/>
          <w:left w:w="0" w:type="dxa"/>
          <w:bottom w:w="0" w:type="dxa"/>
          <w:right w:w="0" w:type="dxa"/>
        </w:tblCellMar>
      </w:tblPr>
      <w:tblGrid>
        <w:gridCol w:w="601"/>
        <w:gridCol w:w="601"/>
        <w:gridCol w:w="430"/>
        <w:gridCol w:w="593"/>
        <w:gridCol w:w="601"/>
        <w:gridCol w:w="519"/>
        <w:gridCol w:w="590"/>
        <w:gridCol w:w="613"/>
        <w:gridCol w:w="430"/>
        <w:gridCol w:w="436"/>
        <w:gridCol w:w="521"/>
        <w:gridCol w:w="534"/>
        <w:gridCol w:w="613"/>
        <w:gridCol w:w="613"/>
        <w:gridCol w:w="520"/>
        <w:gridCol w:w="431"/>
        <w:gridCol w:w="614"/>
        <w:gridCol w:w="437"/>
        <w:gridCol w:w="431"/>
        <w:gridCol w:w="614"/>
        <w:gridCol w:w="457"/>
      </w:tblGrid>
      <w:tr>
        <w:tblPrEx>
          <w:tblCellMar>
            <w:top w:w="0" w:type="dxa"/>
            <w:left w:w="0" w:type="dxa"/>
            <w:bottom w:w="0" w:type="dxa"/>
            <w:right w:w="0" w:type="dxa"/>
          </w:tblCellMar>
        </w:tblPrEx>
        <w:trPr>
          <w:trHeight w:val="357" w:hRule="atLeast"/>
        </w:trPr>
        <w:tc>
          <w:tcPr>
            <w:tcW w:w="5000" w:type="pct"/>
            <w:gridSpan w:val="21"/>
            <w:tcBorders>
              <w:top w:val="nil"/>
              <w:left w:val="nil"/>
              <w:bottom w:val="single" w:color="000000" w:sz="8" w:space="0"/>
              <w:right w:val="nil"/>
            </w:tcBorders>
            <w:shd w:val="clear" w:color="auto" w:fill="auto"/>
            <w:tcMar>
              <w:top w:w="15" w:type="dxa"/>
              <w:left w:w="15" w:type="dxa"/>
              <w:right w:w="15" w:type="dxa"/>
            </w:tcMar>
            <w:vAlign w:val="center"/>
          </w:tcPr>
          <w:p>
            <w:pPr>
              <w:snapToGrid w:val="0"/>
              <w:spacing w:line="520" w:lineRule="exact"/>
              <w:ind w:firstLine="420" w:firstLineChars="200"/>
              <w:jc w:val="right"/>
              <w:rPr>
                <w:rFonts w:hint="eastAsia" w:ascii="宋体" w:hAnsi="宋体" w:eastAsia="宋体" w:cs="宋体"/>
                <w:i w:val="0"/>
                <w:color w:val="auto"/>
                <w:kern w:val="0"/>
                <w:sz w:val="16"/>
                <w:szCs w:val="16"/>
                <w:u w:val="none"/>
                <w:lang w:val="en-US" w:eastAsia="zh-CN" w:bidi="ar"/>
              </w:rPr>
            </w:pPr>
            <w:r>
              <w:rPr>
                <w:rFonts w:hint="eastAsia" w:ascii="仿宋_GB2312" w:hAnsi="仿宋" w:eastAsia="仿宋_GB2312"/>
                <w:color w:val="auto"/>
                <w:sz w:val="21"/>
                <w:szCs w:val="21"/>
                <w:lang w:val="en-US" w:eastAsia="zh-CN"/>
              </w:rPr>
              <w:t>金额单位：万元</w:t>
            </w:r>
          </w:p>
        </w:tc>
      </w:tr>
      <w:tr>
        <w:tblPrEx>
          <w:tblCellMar>
            <w:top w:w="0" w:type="dxa"/>
            <w:left w:w="0" w:type="dxa"/>
            <w:bottom w:w="0" w:type="dxa"/>
            <w:right w:w="0" w:type="dxa"/>
          </w:tblCellMar>
        </w:tblPrEx>
        <w:trPr>
          <w:trHeight w:val="357" w:hRule="atLeast"/>
        </w:trPr>
        <w:tc>
          <w:tcPr>
            <w:tcW w:w="739" w:type="pct"/>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本年支出</w:t>
            </w:r>
          </w:p>
        </w:tc>
        <w:tc>
          <w:tcPr>
            <w:tcW w:w="4260" w:type="pct"/>
            <w:gridSpan w:val="18"/>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其中：</w:t>
            </w:r>
          </w:p>
        </w:tc>
      </w:tr>
      <w:tr>
        <w:tblPrEx>
          <w:tblCellMar>
            <w:top w:w="0" w:type="dxa"/>
            <w:left w:w="0" w:type="dxa"/>
            <w:bottom w:w="0" w:type="dxa"/>
            <w:right w:w="0" w:type="dxa"/>
          </w:tblCellMar>
        </w:tblPrEx>
        <w:trPr>
          <w:trHeight w:val="357" w:hRule="atLeast"/>
        </w:trPr>
        <w:tc>
          <w:tcPr>
            <w:tcW w:w="273" w:type="pct"/>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3"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191"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2983" w:type="pct"/>
            <w:gridSpan w:val="12"/>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基本支出</w:t>
            </w:r>
          </w:p>
        </w:tc>
        <w:tc>
          <w:tcPr>
            <w:tcW w:w="1276" w:type="pct"/>
            <w:gridSpan w:val="6"/>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项目支出</w:t>
            </w:r>
          </w:p>
        </w:tc>
      </w:tr>
      <w:tr>
        <w:tblPrEx>
          <w:tblCellMar>
            <w:top w:w="0" w:type="dxa"/>
            <w:left w:w="0" w:type="dxa"/>
            <w:bottom w:w="0" w:type="dxa"/>
            <w:right w:w="0" w:type="dxa"/>
          </w:tblCellMar>
        </w:tblPrEx>
        <w:trPr>
          <w:trHeight w:val="646" w:hRule="atLeast"/>
        </w:trPr>
        <w:tc>
          <w:tcPr>
            <w:tcW w:w="2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3"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91"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3"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3" w:type="pct"/>
            <w:vMerge w:val="restar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236"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733" w:type="pct"/>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人员经费</w:t>
            </w:r>
          </w:p>
        </w:tc>
        <w:tc>
          <w:tcPr>
            <w:tcW w:w="679" w:type="pct"/>
            <w:gridSpan w:val="3"/>
            <w:tcBorders>
              <w:top w:val="single" w:color="000000" w:sz="8" w:space="0"/>
              <w:left w:val="nil"/>
              <w:bottom w:val="single" w:color="000000" w:sz="8" w:space="0"/>
              <w:right w:val="single" w:color="000000" w:sz="8"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公用经费</w:t>
            </w:r>
          </w:p>
        </w:tc>
        <w:tc>
          <w:tcPr>
            <w:tcW w:w="787" w:type="pct"/>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其中：财政拨款</w:t>
            </w:r>
          </w:p>
        </w:tc>
        <w:tc>
          <w:tcPr>
            <w:tcW w:w="156"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8"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199" w:type="pct"/>
            <w:vMerge w:val="restar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643" w:type="pct"/>
            <w:gridSpan w:val="3"/>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其中：财政拨款</w:t>
            </w:r>
          </w:p>
        </w:tc>
      </w:tr>
      <w:tr>
        <w:tblPrEx>
          <w:tblCellMar>
            <w:top w:w="0" w:type="dxa"/>
            <w:left w:w="0" w:type="dxa"/>
            <w:bottom w:w="0" w:type="dxa"/>
            <w:right w:w="0" w:type="dxa"/>
          </w:tblCellMar>
        </w:tblPrEx>
        <w:trPr>
          <w:trHeight w:val="1548" w:hRule="atLeast"/>
        </w:trPr>
        <w:tc>
          <w:tcPr>
            <w:tcW w:w="273" w:type="pct"/>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3"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91"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3"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3" w:type="pct"/>
            <w:vMerge w:val="continue"/>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36"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1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1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24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230"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c>
          <w:tcPr>
            <w:tcW w:w="156"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278"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99" w:type="pct"/>
            <w:vMerge w:val="continue"/>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156"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年初预算数</w:t>
            </w:r>
          </w:p>
        </w:tc>
        <w:tc>
          <w:tcPr>
            <w:tcW w:w="27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决算数</w:t>
            </w:r>
          </w:p>
        </w:tc>
        <w:tc>
          <w:tcPr>
            <w:tcW w:w="208" w:type="pct"/>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差异率%</w:t>
            </w:r>
          </w:p>
        </w:tc>
      </w:tr>
      <w:tr>
        <w:tblPrEx>
          <w:tblCellMar>
            <w:top w:w="0" w:type="dxa"/>
            <w:left w:w="0" w:type="dxa"/>
            <w:bottom w:w="0" w:type="dxa"/>
            <w:right w:w="0" w:type="dxa"/>
          </w:tblCellMar>
        </w:tblPrEx>
        <w:trPr>
          <w:trHeight w:val="357" w:hRule="atLeast"/>
        </w:trPr>
        <w:tc>
          <w:tcPr>
            <w:tcW w:w="273" w:type="pc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w:t>
            </w:r>
          </w:p>
        </w:tc>
        <w:tc>
          <w:tcPr>
            <w:tcW w:w="27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w:t>
            </w:r>
          </w:p>
        </w:tc>
        <w:tc>
          <w:tcPr>
            <w:tcW w:w="1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3</w:t>
            </w:r>
          </w:p>
        </w:tc>
        <w:tc>
          <w:tcPr>
            <w:tcW w:w="27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w:t>
            </w:r>
          </w:p>
        </w:tc>
        <w:tc>
          <w:tcPr>
            <w:tcW w:w="27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5</w:t>
            </w:r>
          </w:p>
        </w:tc>
        <w:tc>
          <w:tcPr>
            <w:tcW w:w="23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6</w:t>
            </w:r>
          </w:p>
        </w:tc>
        <w:tc>
          <w:tcPr>
            <w:tcW w:w="263"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7</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8</w:t>
            </w:r>
          </w:p>
        </w:tc>
        <w:tc>
          <w:tcPr>
            <w:tcW w:w="19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9</w:t>
            </w:r>
          </w:p>
        </w:tc>
        <w:tc>
          <w:tcPr>
            <w:tcW w:w="1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10</w:t>
            </w:r>
          </w:p>
        </w:tc>
        <w:tc>
          <w:tcPr>
            <w:tcW w:w="237"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11</w:t>
            </w:r>
          </w:p>
        </w:tc>
        <w:tc>
          <w:tcPr>
            <w:tcW w:w="241"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12</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13</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14</w:t>
            </w:r>
          </w:p>
        </w:tc>
        <w:tc>
          <w:tcPr>
            <w:tcW w:w="230"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15</w:t>
            </w:r>
          </w:p>
        </w:tc>
        <w:tc>
          <w:tcPr>
            <w:tcW w:w="1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16</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17</w:t>
            </w:r>
          </w:p>
        </w:tc>
        <w:tc>
          <w:tcPr>
            <w:tcW w:w="199"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18</w:t>
            </w:r>
          </w:p>
        </w:tc>
        <w:tc>
          <w:tcPr>
            <w:tcW w:w="156"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19</w:t>
            </w:r>
          </w:p>
        </w:tc>
        <w:tc>
          <w:tcPr>
            <w:tcW w:w="27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20</w:t>
            </w:r>
          </w:p>
        </w:tc>
        <w:tc>
          <w:tcPr>
            <w:tcW w:w="208" w:type="pct"/>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21</w:t>
            </w:r>
          </w:p>
        </w:tc>
      </w:tr>
      <w:tr>
        <w:tblPrEx>
          <w:tblCellMar>
            <w:top w:w="0" w:type="dxa"/>
            <w:left w:w="0" w:type="dxa"/>
            <w:bottom w:w="0" w:type="dxa"/>
            <w:right w:w="0" w:type="dxa"/>
          </w:tblCellMar>
        </w:tblPrEx>
        <w:trPr>
          <w:trHeight w:val="684" w:hRule="atLeast"/>
        </w:trPr>
        <w:tc>
          <w:tcPr>
            <w:tcW w:w="273" w:type="pct"/>
            <w:tcBorders>
              <w:top w:val="nil"/>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2938.97</w:t>
            </w:r>
          </w:p>
        </w:tc>
        <w:tc>
          <w:tcPr>
            <w:tcW w:w="273"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3355.11</w:t>
            </w:r>
          </w:p>
        </w:tc>
        <w:tc>
          <w:tcPr>
            <w:tcW w:w="191"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eastAsia="zh-CN"/>
              </w:rPr>
            </w:pPr>
            <w:r>
              <w:rPr>
                <w:rFonts w:hint="eastAsia" w:ascii="宋体" w:hAnsi="宋体" w:cs="宋体"/>
                <w:i w:val="0"/>
                <w:color w:val="auto"/>
                <w:sz w:val="16"/>
                <w:szCs w:val="16"/>
                <w:u w:val="none"/>
                <w:lang w:val="en-US" w:eastAsia="zh-CN"/>
              </w:rPr>
              <w:t>14.16</w:t>
            </w:r>
          </w:p>
        </w:tc>
        <w:tc>
          <w:tcPr>
            <w:tcW w:w="273"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2350.07</w:t>
            </w:r>
          </w:p>
        </w:tc>
        <w:tc>
          <w:tcPr>
            <w:tcW w:w="273"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2251.4</w:t>
            </w:r>
          </w:p>
        </w:tc>
        <w:tc>
          <w:tcPr>
            <w:tcW w:w="236"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color w:val="auto"/>
                <w:kern w:val="0"/>
                <w:sz w:val="16"/>
                <w:szCs w:val="16"/>
                <w:u w:val="none"/>
                <w:lang w:val="en-US" w:eastAsia="zh-CN" w:bidi="ar"/>
              </w:rPr>
              <w:t>-4.2</w:t>
            </w:r>
          </w:p>
        </w:tc>
        <w:tc>
          <w:tcPr>
            <w:tcW w:w="263"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2332.63</w:t>
            </w:r>
          </w:p>
        </w:tc>
        <w:tc>
          <w:tcPr>
            <w:tcW w:w="27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2249.57</w:t>
            </w:r>
          </w:p>
        </w:tc>
        <w:tc>
          <w:tcPr>
            <w:tcW w:w="191"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-3.56</w:t>
            </w:r>
          </w:p>
        </w:tc>
        <w:tc>
          <w:tcPr>
            <w:tcW w:w="199"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17.44</w:t>
            </w:r>
          </w:p>
        </w:tc>
        <w:tc>
          <w:tcPr>
            <w:tcW w:w="237"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1.83</w:t>
            </w:r>
          </w:p>
        </w:tc>
        <w:tc>
          <w:tcPr>
            <w:tcW w:w="241"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-89.5</w:t>
            </w:r>
          </w:p>
        </w:tc>
        <w:tc>
          <w:tcPr>
            <w:tcW w:w="27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2350.07</w:t>
            </w:r>
          </w:p>
        </w:tc>
        <w:tc>
          <w:tcPr>
            <w:tcW w:w="27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2251.26</w:t>
            </w:r>
          </w:p>
        </w:tc>
        <w:tc>
          <w:tcPr>
            <w:tcW w:w="230"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-4.2</w:t>
            </w:r>
          </w:p>
        </w:tc>
        <w:tc>
          <w:tcPr>
            <w:tcW w:w="156"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588.9</w:t>
            </w:r>
          </w:p>
        </w:tc>
        <w:tc>
          <w:tcPr>
            <w:tcW w:w="27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1103.71</w:t>
            </w:r>
          </w:p>
        </w:tc>
        <w:tc>
          <w:tcPr>
            <w:tcW w:w="199"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87.42</w:t>
            </w:r>
          </w:p>
        </w:tc>
        <w:tc>
          <w:tcPr>
            <w:tcW w:w="156"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588.9</w:t>
            </w:r>
          </w:p>
        </w:tc>
        <w:tc>
          <w:tcPr>
            <w:tcW w:w="27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1103.71</w:t>
            </w:r>
          </w:p>
        </w:tc>
        <w:tc>
          <w:tcPr>
            <w:tcW w:w="208" w:type="pct"/>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6"/>
                <w:szCs w:val="16"/>
                <w:u w:val="none"/>
                <w:lang w:val="en-US"/>
              </w:rPr>
            </w:pPr>
            <w:r>
              <w:rPr>
                <w:rFonts w:hint="eastAsia" w:ascii="宋体" w:hAnsi="宋体" w:cs="宋体"/>
                <w:i w:val="0"/>
                <w:color w:val="auto"/>
                <w:kern w:val="0"/>
                <w:sz w:val="16"/>
                <w:szCs w:val="16"/>
                <w:u w:val="none"/>
                <w:lang w:val="en-US" w:eastAsia="zh-CN" w:bidi="ar"/>
              </w:rPr>
              <w:t>87.42</w:t>
            </w:r>
          </w:p>
        </w:tc>
      </w:tr>
    </w:tbl>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本年支出预算数</w:t>
      </w:r>
      <w:r>
        <w:rPr>
          <w:rFonts w:hint="eastAsia" w:ascii="仿宋_GB2312" w:hAnsi="仿宋" w:eastAsia="仿宋_GB2312"/>
          <w:color w:val="auto"/>
          <w:sz w:val="32"/>
          <w:szCs w:val="32"/>
          <w:lang w:val="en-US" w:eastAsia="zh-CN"/>
        </w:rPr>
        <w:t>2938.97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3355.11</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14.16</w:t>
      </w:r>
      <w:r>
        <w:rPr>
          <w:rFonts w:hint="eastAsia" w:ascii="仿宋_GB2312" w:hAnsi="仿宋" w:eastAsia="仿宋_GB2312"/>
          <w:color w:val="auto"/>
          <w:sz w:val="32"/>
          <w:szCs w:val="32"/>
        </w:rPr>
        <w:t>%。</w:t>
      </w:r>
    </w:p>
    <w:p>
      <w:pPr>
        <w:snapToGrid w:val="0"/>
        <w:spacing w:line="520" w:lineRule="exact"/>
        <w:ind w:firstLine="643" w:firstLineChars="200"/>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基本支出</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基本支出年初预算数</w:t>
      </w:r>
      <w:r>
        <w:rPr>
          <w:rFonts w:hint="eastAsia" w:ascii="仿宋_GB2312" w:hAnsi="仿宋" w:eastAsia="仿宋_GB2312"/>
          <w:color w:val="auto"/>
          <w:sz w:val="32"/>
          <w:szCs w:val="32"/>
          <w:lang w:val="en-US" w:eastAsia="zh-CN"/>
        </w:rPr>
        <w:t>2350.07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-4.2</w:t>
      </w:r>
      <w:r>
        <w:rPr>
          <w:rFonts w:hint="eastAsia" w:ascii="仿宋_GB2312" w:hAnsi="仿宋" w:eastAsia="仿宋_GB2312"/>
          <w:color w:val="auto"/>
          <w:sz w:val="32"/>
          <w:szCs w:val="32"/>
        </w:rPr>
        <w:t>%。其中：财政拨款年初预算数</w:t>
      </w:r>
      <w:r>
        <w:rPr>
          <w:rFonts w:hint="eastAsia" w:ascii="仿宋_GB2312" w:hAnsi="仿宋" w:eastAsia="仿宋_GB2312"/>
          <w:color w:val="auto"/>
          <w:sz w:val="32"/>
          <w:szCs w:val="32"/>
          <w:lang w:val="en-US" w:eastAsia="zh-CN"/>
        </w:rPr>
        <w:t>2350.07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-4.2</w:t>
      </w:r>
      <w:r>
        <w:rPr>
          <w:rFonts w:hint="eastAsia" w:ascii="仿宋_GB2312" w:hAnsi="仿宋" w:eastAsia="仿宋_GB2312"/>
          <w:color w:val="auto"/>
          <w:sz w:val="32"/>
          <w:szCs w:val="32"/>
        </w:rPr>
        <w:t>%。</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人员经费年初预算数</w:t>
      </w:r>
      <w:r>
        <w:rPr>
          <w:rFonts w:hint="eastAsia" w:ascii="仿宋_GB2312" w:hAnsi="仿宋" w:eastAsia="仿宋_GB2312"/>
          <w:color w:val="auto"/>
          <w:sz w:val="32"/>
          <w:szCs w:val="32"/>
          <w:lang w:val="en-US" w:eastAsia="zh-CN"/>
        </w:rPr>
        <w:t>2332.63</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2249.57</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-3.56</w:t>
      </w:r>
      <w:r>
        <w:rPr>
          <w:rFonts w:hint="eastAsia" w:ascii="仿宋_GB2312" w:hAnsi="仿宋" w:eastAsia="仿宋_GB2312"/>
          <w:color w:val="auto"/>
          <w:sz w:val="32"/>
          <w:szCs w:val="32"/>
        </w:rPr>
        <w:t>%；公用经费年初预算数</w:t>
      </w:r>
      <w:r>
        <w:rPr>
          <w:rFonts w:hint="eastAsia" w:ascii="仿宋_GB2312" w:hAnsi="仿宋" w:eastAsia="仿宋_GB2312"/>
          <w:color w:val="auto"/>
          <w:sz w:val="32"/>
          <w:szCs w:val="32"/>
          <w:lang w:val="en-US" w:eastAsia="zh-CN"/>
        </w:rPr>
        <w:t>17.44</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1.83</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-89.5</w:t>
      </w:r>
      <w:r>
        <w:rPr>
          <w:rFonts w:hint="eastAsia" w:ascii="仿宋_GB2312" w:hAnsi="仿宋" w:eastAsia="仿宋_GB2312"/>
          <w:color w:val="auto"/>
          <w:sz w:val="32"/>
          <w:szCs w:val="32"/>
        </w:rPr>
        <w:t>%。</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基本支出调整预算数</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万元，差异率0。其中：人员经费调整预算数</w:t>
      </w:r>
      <w:r>
        <w:rPr>
          <w:rFonts w:hint="eastAsia" w:ascii="仿宋_GB2312" w:hAnsi="仿宋" w:eastAsia="仿宋_GB2312"/>
          <w:color w:val="auto"/>
          <w:sz w:val="32"/>
          <w:szCs w:val="32"/>
          <w:lang w:val="en-US" w:eastAsia="zh-CN"/>
        </w:rPr>
        <w:t>2249.57</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2249.57</w:t>
      </w:r>
      <w:r>
        <w:rPr>
          <w:rFonts w:hint="eastAsia" w:ascii="仿宋_GB2312" w:hAnsi="仿宋" w:eastAsia="仿宋_GB2312"/>
          <w:color w:val="auto"/>
          <w:sz w:val="32"/>
          <w:szCs w:val="32"/>
        </w:rPr>
        <w:t>万元，差异率0；公用经费调整预算数</w:t>
      </w:r>
      <w:r>
        <w:rPr>
          <w:rFonts w:hint="eastAsia" w:ascii="仿宋_GB2312" w:hAnsi="仿宋" w:eastAsia="仿宋_GB2312"/>
          <w:color w:val="auto"/>
          <w:sz w:val="32"/>
          <w:szCs w:val="32"/>
          <w:lang w:val="en-US" w:eastAsia="zh-CN"/>
        </w:rPr>
        <w:t>1.83</w:t>
      </w:r>
      <w:r>
        <w:rPr>
          <w:rFonts w:hint="eastAsia" w:ascii="仿宋_GB2312" w:hAnsi="仿宋" w:eastAsia="仿宋_GB2312"/>
          <w:color w:val="auto"/>
          <w:sz w:val="32"/>
          <w:szCs w:val="32"/>
        </w:rPr>
        <w:t>万元，决算数</w:t>
      </w:r>
      <w:r>
        <w:rPr>
          <w:rFonts w:hint="eastAsia" w:ascii="仿宋_GB2312" w:hAnsi="仿宋" w:eastAsia="仿宋_GB2312"/>
          <w:color w:val="auto"/>
          <w:sz w:val="32"/>
          <w:szCs w:val="32"/>
          <w:lang w:val="en-US" w:eastAsia="zh-CN"/>
        </w:rPr>
        <w:t>1.83</w:t>
      </w:r>
      <w:r>
        <w:rPr>
          <w:rFonts w:hint="eastAsia" w:ascii="仿宋_GB2312" w:hAnsi="仿宋" w:eastAsia="仿宋_GB2312"/>
          <w:color w:val="auto"/>
          <w:sz w:val="32"/>
          <w:szCs w:val="32"/>
        </w:rPr>
        <w:t>万元，差异率0。</w:t>
      </w: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仿宋_GB2312" w:hAnsi="仿宋" w:eastAsia="仿宋_GB2312"/>
          <w:b/>
          <w:bCs/>
          <w:color w:val="auto"/>
          <w:sz w:val="32"/>
          <w:szCs w:val="32"/>
        </w:rPr>
      </w:pPr>
      <w:r>
        <w:rPr>
          <w:rFonts w:hint="eastAsia" w:ascii="仿宋_GB2312" w:hAnsi="仿宋" w:eastAsia="仿宋_GB2312"/>
          <w:b/>
          <w:bCs/>
          <w:color w:val="auto"/>
          <w:sz w:val="32"/>
          <w:szCs w:val="32"/>
        </w:rPr>
        <w:t>项目支出</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项目支出年初预算数</w:t>
      </w:r>
      <w:r>
        <w:rPr>
          <w:rFonts w:hint="eastAsia" w:ascii="仿宋_GB2312" w:hAnsi="仿宋" w:eastAsia="仿宋_GB2312"/>
          <w:color w:val="auto"/>
          <w:sz w:val="32"/>
          <w:szCs w:val="32"/>
          <w:lang w:val="en-US" w:eastAsia="zh-CN"/>
        </w:rPr>
        <w:t>588.9</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（不包含单独预算的城市维护费</w:t>
      </w:r>
      <w:r>
        <w:rPr>
          <w:rFonts w:hint="eastAsia" w:ascii="仿宋_GB2312" w:hAnsi="仿宋" w:eastAsia="仿宋_GB2312"/>
          <w:color w:val="auto"/>
          <w:sz w:val="32"/>
          <w:szCs w:val="32"/>
          <w:lang w:val="en-US" w:eastAsia="zh-CN"/>
        </w:rPr>
        <w:t>488万</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，决算数</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万元，差异率</w:t>
      </w:r>
      <w:r>
        <w:rPr>
          <w:rFonts w:hint="eastAsia" w:ascii="仿宋_GB2312" w:hAnsi="仿宋" w:eastAsia="仿宋_GB2312"/>
          <w:color w:val="auto"/>
          <w:sz w:val="32"/>
          <w:szCs w:val="32"/>
          <w:lang w:val="en-US" w:eastAsia="zh-CN"/>
        </w:rPr>
        <w:t>87.42</w:t>
      </w:r>
      <w:r>
        <w:rPr>
          <w:rFonts w:hint="eastAsia" w:ascii="仿宋_GB2312" w:hAnsi="仿宋" w:eastAsia="仿宋_GB2312"/>
          <w:color w:val="auto"/>
          <w:sz w:val="32"/>
          <w:szCs w:val="32"/>
        </w:rPr>
        <w:t>%。</w:t>
      </w:r>
    </w:p>
    <w:p>
      <w:pPr>
        <w:numPr>
          <w:ilvl w:val="0"/>
          <w:numId w:val="0"/>
        </w:numPr>
        <w:snapToGrid w:val="0"/>
        <w:spacing w:line="520" w:lineRule="exact"/>
        <w:ind w:firstLine="640" w:firstLineChars="200"/>
        <w:jc w:val="left"/>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差异原因分析</w:t>
      </w:r>
      <w:r>
        <w:rPr>
          <w:rFonts w:hint="eastAsia" w:ascii="仿宋_GB2312" w:hAnsi="仿宋" w:eastAsia="仿宋_GB2312"/>
          <w:color w:val="auto"/>
          <w:sz w:val="32"/>
          <w:szCs w:val="32"/>
          <w:lang w:eastAsia="zh-CN"/>
        </w:rPr>
        <w:t>如下：</w:t>
      </w:r>
    </w:p>
    <w:p>
      <w:pPr>
        <w:snapToGrid w:val="0"/>
        <w:spacing w:line="520" w:lineRule="exact"/>
        <w:ind w:firstLine="640" w:firstLineChars="200"/>
        <w:rPr>
          <w:rFonts w:hint="eastAsia" w:ascii="仿宋_GB2312" w:hAnsi="仿宋" w:eastAsia="仿宋_GB2312"/>
          <w:color w:val="auto"/>
          <w:sz w:val="32"/>
          <w:szCs w:val="32"/>
        </w:rPr>
      </w:pPr>
      <w:r>
        <w:rPr>
          <w:rFonts w:ascii="Calibri" w:hAnsi="Calibri" w:eastAsia="仿宋_GB2312" w:cs="Calibri"/>
          <w:color w:val="auto"/>
          <w:sz w:val="32"/>
          <w:szCs w:val="32"/>
        </w:rPr>
        <w:t>①</w:t>
      </w:r>
      <w:r>
        <w:rPr>
          <w:rFonts w:hint="eastAsia" w:ascii="仿宋_GB2312" w:hAnsi="仿宋" w:eastAsia="仿宋_GB2312"/>
          <w:color w:val="auto"/>
          <w:sz w:val="32"/>
          <w:szCs w:val="32"/>
        </w:rPr>
        <w:t>城市维护费</w:t>
      </w:r>
      <w:r>
        <w:rPr>
          <w:rFonts w:hint="eastAsia" w:ascii="仿宋_GB2312" w:hAnsi="仿宋" w:eastAsia="仿宋_GB2312"/>
          <w:color w:val="auto"/>
          <w:sz w:val="32"/>
          <w:szCs w:val="32"/>
          <w:lang w:eastAsia="zh-CN"/>
        </w:rPr>
        <w:t>年度实际</w:t>
      </w:r>
      <w:r>
        <w:rPr>
          <w:rFonts w:hint="eastAsia" w:ascii="仿宋_GB2312" w:hAnsi="仿宋" w:eastAsia="仿宋_GB2312"/>
          <w:color w:val="auto"/>
          <w:sz w:val="32"/>
          <w:szCs w:val="32"/>
        </w:rPr>
        <w:t>收支</w:t>
      </w:r>
      <w:r>
        <w:rPr>
          <w:rFonts w:hint="eastAsia" w:ascii="Calibri" w:hAnsi="Calibri" w:eastAsia="仿宋_GB2312" w:cs="Calibri"/>
          <w:color w:val="auto"/>
          <w:sz w:val="32"/>
          <w:szCs w:val="32"/>
          <w:lang w:val="en-US" w:eastAsia="zh-CN"/>
        </w:rPr>
        <w:t>487.6</w:t>
      </w:r>
      <w:r>
        <w:rPr>
          <w:rFonts w:hint="eastAsia" w:ascii="Calibri" w:hAnsi="Calibri" w:eastAsia="仿宋_GB2312" w:cs="Calibri"/>
          <w:color w:val="auto"/>
          <w:sz w:val="32"/>
          <w:szCs w:val="32"/>
        </w:rPr>
        <w:t>万元</w:t>
      </w:r>
      <w:r>
        <w:rPr>
          <w:rFonts w:hint="eastAsia" w:ascii="仿宋_GB2312" w:hAnsi="仿宋" w:eastAsia="仿宋_GB2312"/>
          <w:color w:val="auto"/>
          <w:sz w:val="32"/>
          <w:szCs w:val="32"/>
        </w:rPr>
        <w:t>单独填报，未在部门预算管理系统中统一反映。</w:t>
      </w:r>
    </w:p>
    <w:p>
      <w:pPr>
        <w:snapToGrid w:val="0"/>
        <w:spacing w:line="520" w:lineRule="exact"/>
        <w:ind w:firstLine="640" w:firstLineChars="200"/>
        <w:rPr>
          <w:rFonts w:hint="eastAsia" w:ascii="仿宋_GB2312" w:hAnsi="仿宋" w:eastAsia="仿宋_GB2312"/>
          <w:color w:val="auto"/>
          <w:sz w:val="32"/>
          <w:szCs w:val="32"/>
        </w:rPr>
      </w:pPr>
      <w:r>
        <w:rPr>
          <w:rFonts w:ascii="Calibri" w:hAnsi="Calibri" w:eastAsia="仿宋_GB2312" w:cs="Calibri"/>
          <w:color w:val="auto"/>
          <w:sz w:val="32"/>
          <w:szCs w:val="32"/>
        </w:rPr>
        <w:t>②</w:t>
      </w:r>
      <w:r>
        <w:rPr>
          <w:rFonts w:hint="eastAsia" w:ascii="Calibri" w:hAnsi="Calibri" w:eastAsia="仿宋_GB2312" w:cs="Calibri"/>
          <w:color w:val="auto"/>
          <w:sz w:val="32"/>
          <w:szCs w:val="32"/>
        </w:rPr>
        <w:t>年度执行中追加指标</w:t>
      </w:r>
      <w:r>
        <w:rPr>
          <w:rFonts w:hint="eastAsia" w:ascii="Calibri" w:hAnsi="Calibri" w:eastAsia="仿宋_GB2312" w:cs="Calibri"/>
          <w:color w:val="auto"/>
          <w:sz w:val="32"/>
          <w:szCs w:val="32"/>
          <w:lang w:val="en-US" w:eastAsia="zh-CN"/>
        </w:rPr>
        <w:t>29.55</w:t>
      </w:r>
      <w:r>
        <w:rPr>
          <w:rFonts w:hint="eastAsia" w:ascii="Calibri" w:hAnsi="Calibri" w:eastAsia="仿宋_GB2312" w:cs="Calibri"/>
          <w:color w:val="auto"/>
          <w:sz w:val="32"/>
          <w:szCs w:val="32"/>
        </w:rPr>
        <w:t>万元，其中：调整遗属生活补助经费</w:t>
      </w:r>
      <w:r>
        <w:rPr>
          <w:rFonts w:hint="eastAsia" w:ascii="Calibri" w:hAnsi="Calibri" w:eastAsia="仿宋_GB2312" w:cs="Calibri"/>
          <w:color w:val="auto"/>
          <w:sz w:val="32"/>
          <w:szCs w:val="32"/>
          <w:lang w:val="en-US" w:eastAsia="zh-CN"/>
        </w:rPr>
        <w:t>1.45万元，追加绩效考评奖金及四个专项绩效考评奖金28.10万元</w:t>
      </w:r>
      <w:r>
        <w:rPr>
          <w:rFonts w:hint="eastAsia" w:ascii="仿宋_GB2312" w:hAnsi="仿宋" w:eastAsia="仿宋_GB2312"/>
          <w:color w:val="auto"/>
          <w:sz w:val="32"/>
          <w:szCs w:val="32"/>
        </w:rPr>
        <w:t>。</w:t>
      </w:r>
    </w:p>
    <w:p>
      <w:pPr>
        <w:snapToGrid w:val="0"/>
        <w:spacing w:line="52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2．收入支出结构分析。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各项收入占总收入的比重，各项支出占总支出的比重。</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（1）收入结构分析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本年收入</w:t>
      </w:r>
      <w:r>
        <w:rPr>
          <w:rFonts w:hint="eastAsia" w:ascii="仿宋_GB2312" w:hAnsi="仿宋" w:eastAsia="仿宋_GB2312"/>
          <w:color w:val="auto"/>
          <w:sz w:val="32"/>
          <w:szCs w:val="32"/>
          <w:lang w:val="en-US" w:eastAsia="zh-CN"/>
        </w:rPr>
        <w:t>3340.3</w:t>
      </w:r>
      <w:r>
        <w:rPr>
          <w:rFonts w:hint="eastAsia" w:ascii="仿宋_GB2312" w:hAnsi="仿宋" w:eastAsia="仿宋_GB2312"/>
          <w:color w:val="auto"/>
          <w:sz w:val="32"/>
          <w:szCs w:val="32"/>
        </w:rPr>
        <w:t>万元，其中：财政拨款收入</w:t>
      </w:r>
      <w:r>
        <w:rPr>
          <w:rFonts w:hint="eastAsia" w:ascii="仿宋_GB2312" w:hAnsi="仿宋" w:eastAsia="仿宋_GB2312"/>
          <w:color w:val="auto"/>
          <w:sz w:val="32"/>
          <w:szCs w:val="32"/>
          <w:lang w:val="en-US" w:eastAsia="zh-CN"/>
        </w:rPr>
        <w:t>3339.8</w:t>
      </w:r>
      <w:r>
        <w:rPr>
          <w:rFonts w:hint="eastAsia" w:ascii="仿宋_GB2312" w:hAnsi="仿宋" w:eastAsia="仿宋_GB2312"/>
          <w:color w:val="auto"/>
          <w:sz w:val="32"/>
          <w:szCs w:val="32"/>
        </w:rPr>
        <w:t>万元，占本年收入99.9</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%；其他收入0.</w:t>
      </w:r>
      <w:r>
        <w:rPr>
          <w:rFonts w:hint="eastAsia" w:ascii="仿宋_GB2312" w:hAnsi="仿宋" w:eastAsia="仿宋_GB2312"/>
          <w:color w:val="auto"/>
          <w:sz w:val="32"/>
          <w:szCs w:val="32"/>
          <w:lang w:val="en-US" w:eastAsia="zh-CN"/>
        </w:rPr>
        <w:t>51</w:t>
      </w:r>
      <w:r>
        <w:rPr>
          <w:rFonts w:hint="eastAsia" w:ascii="仿宋_GB2312" w:hAnsi="仿宋" w:eastAsia="仿宋_GB2312"/>
          <w:color w:val="auto"/>
          <w:sz w:val="32"/>
          <w:szCs w:val="32"/>
        </w:rPr>
        <w:t>万元，占本年收入0.0</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rPr>
        <w:t>%。</w:t>
      </w:r>
    </w:p>
    <w:p>
      <w:pPr>
        <w:snapToGrid w:val="0"/>
        <w:spacing w:line="520" w:lineRule="exact"/>
        <w:ind w:firstLine="640" w:firstLineChars="200"/>
        <w:rPr>
          <w:rFonts w:hint="eastAsia" w:ascii="仿宋_GB2312" w:hAnsi="仿宋" w:eastAsia="仿宋_GB2312"/>
          <w:color w:val="auto"/>
          <w:sz w:val="32"/>
          <w:szCs w:val="32"/>
        </w:rPr>
      </w:pPr>
    </w:p>
    <w:tbl>
      <w:tblPr>
        <w:tblStyle w:val="8"/>
        <w:tblpPr w:leftFromText="180" w:rightFromText="180" w:vertAnchor="text" w:horzAnchor="page" w:tblpX="1963" w:tblpY="525"/>
        <w:tblOverlap w:val="never"/>
        <w:tblW w:w="0" w:type="auto"/>
        <w:tblInd w:w="0" w:type="dxa"/>
        <w:tblLayout w:type="fixed"/>
        <w:tblCellMar>
          <w:top w:w="0" w:type="dxa"/>
          <w:left w:w="0" w:type="dxa"/>
          <w:bottom w:w="0" w:type="dxa"/>
          <w:right w:w="0" w:type="dxa"/>
        </w:tblCellMar>
      </w:tblPr>
      <w:tblGrid>
        <w:gridCol w:w="1177"/>
        <w:gridCol w:w="1005"/>
        <w:gridCol w:w="1140"/>
        <w:gridCol w:w="645"/>
        <w:gridCol w:w="765"/>
        <w:gridCol w:w="615"/>
        <w:gridCol w:w="585"/>
        <w:gridCol w:w="870"/>
        <w:gridCol w:w="1455"/>
      </w:tblGrid>
      <w:tr>
        <w:tblPrEx>
          <w:tblCellMar>
            <w:top w:w="0" w:type="dxa"/>
            <w:left w:w="0" w:type="dxa"/>
            <w:bottom w:w="0" w:type="dxa"/>
            <w:right w:w="0" w:type="dxa"/>
          </w:tblCellMar>
        </w:tblPrEx>
        <w:trPr>
          <w:trHeight w:val="402" w:hRule="atLeast"/>
        </w:trPr>
        <w:tc>
          <w:tcPr>
            <w:tcW w:w="8257" w:type="dxa"/>
            <w:gridSpan w:val="9"/>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收 入 结 构</w:t>
            </w:r>
          </w:p>
        </w:tc>
      </w:tr>
      <w:tr>
        <w:tblPrEx>
          <w:tblCellMar>
            <w:top w:w="0" w:type="dxa"/>
            <w:left w:w="0" w:type="dxa"/>
            <w:bottom w:w="0" w:type="dxa"/>
            <w:right w:w="0" w:type="dxa"/>
          </w:tblCellMar>
        </w:tblPrEx>
        <w:trPr>
          <w:trHeight w:val="402" w:hRule="atLeast"/>
        </w:trPr>
        <w:tc>
          <w:tcPr>
            <w:tcW w:w="117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w:t>
            </w:r>
          </w:p>
        </w:tc>
        <w:tc>
          <w:tcPr>
            <w:tcW w:w="214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财政拨款收入</w:t>
            </w:r>
          </w:p>
        </w:tc>
        <w:tc>
          <w:tcPr>
            <w:tcW w:w="141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事业收入</w:t>
            </w:r>
          </w:p>
        </w:tc>
        <w:tc>
          <w:tcPr>
            <w:tcW w:w="12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经营收入</w:t>
            </w:r>
          </w:p>
        </w:tc>
        <w:tc>
          <w:tcPr>
            <w:tcW w:w="232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其他</w:t>
            </w:r>
          </w:p>
        </w:tc>
      </w:tr>
      <w:tr>
        <w:tblPrEx>
          <w:tblCellMar>
            <w:top w:w="0" w:type="dxa"/>
            <w:left w:w="0" w:type="dxa"/>
            <w:bottom w:w="0" w:type="dxa"/>
            <w:right w:w="0" w:type="dxa"/>
          </w:tblCellMar>
        </w:tblPrEx>
        <w:trPr>
          <w:trHeight w:val="480"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0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11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占本年收入%</w:t>
            </w:r>
          </w:p>
        </w:tc>
        <w:tc>
          <w:tcPr>
            <w:tcW w:w="64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7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占本年收入%</w:t>
            </w:r>
          </w:p>
        </w:tc>
        <w:tc>
          <w:tcPr>
            <w:tcW w:w="6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8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占本年收入%</w:t>
            </w:r>
          </w:p>
        </w:tc>
        <w:tc>
          <w:tcPr>
            <w:tcW w:w="8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占本年收入%</w:t>
            </w:r>
          </w:p>
        </w:tc>
      </w:tr>
      <w:tr>
        <w:tblPrEx>
          <w:tblCellMar>
            <w:top w:w="0" w:type="dxa"/>
            <w:left w:w="0" w:type="dxa"/>
            <w:bottom w:w="0" w:type="dxa"/>
            <w:right w:w="0" w:type="dxa"/>
          </w:tblCellMar>
        </w:tblPrEx>
        <w:trPr>
          <w:trHeight w:val="402"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12" w:hRule="atLeast"/>
        </w:trPr>
        <w:tc>
          <w:tcPr>
            <w:tcW w:w="117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0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4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8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2" w:hRule="atLeast"/>
        </w:trPr>
        <w:tc>
          <w:tcPr>
            <w:tcW w:w="117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10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6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7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8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r>
      <w:tr>
        <w:tblPrEx>
          <w:tblCellMar>
            <w:top w:w="0" w:type="dxa"/>
            <w:left w:w="0" w:type="dxa"/>
            <w:bottom w:w="0" w:type="dxa"/>
            <w:right w:w="0" w:type="dxa"/>
          </w:tblCellMar>
        </w:tblPrEx>
        <w:trPr>
          <w:trHeight w:val="402" w:hRule="atLeast"/>
        </w:trPr>
        <w:tc>
          <w:tcPr>
            <w:tcW w:w="117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3340.3 </w:t>
            </w:r>
          </w:p>
        </w:tc>
        <w:tc>
          <w:tcPr>
            <w:tcW w:w="10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3339.8</w:t>
            </w:r>
            <w:r>
              <w:rPr>
                <w:rFonts w:hint="eastAsia" w:ascii="宋体" w:hAnsi="宋体" w:eastAsia="宋体" w:cs="宋体"/>
                <w:i w:val="0"/>
                <w:color w:val="auto"/>
                <w:kern w:val="0"/>
                <w:sz w:val="18"/>
                <w:szCs w:val="18"/>
                <w:u w:val="none"/>
                <w:lang w:val="en-US" w:eastAsia="zh-CN" w:bidi="ar"/>
              </w:rPr>
              <w:t xml:space="preserve"> </w:t>
            </w: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99.9</w:t>
            </w:r>
            <w:r>
              <w:rPr>
                <w:rFonts w:hint="eastAsia" w:ascii="宋体" w:hAnsi="宋体" w:cs="宋体"/>
                <w:i w:val="0"/>
                <w:color w:val="auto"/>
                <w:kern w:val="0"/>
                <w:sz w:val="18"/>
                <w:szCs w:val="18"/>
                <w:u w:val="none"/>
                <w:lang w:val="en-US" w:eastAsia="zh-CN" w:bidi="ar"/>
              </w:rPr>
              <w:t>9</w:t>
            </w:r>
            <w:r>
              <w:rPr>
                <w:rFonts w:hint="eastAsia" w:ascii="宋体" w:hAnsi="宋体" w:eastAsia="宋体" w:cs="宋体"/>
                <w:i w:val="0"/>
                <w:color w:val="auto"/>
                <w:kern w:val="0"/>
                <w:sz w:val="18"/>
                <w:szCs w:val="18"/>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6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18"/>
                <w:szCs w:val="18"/>
                <w:u w:val="none"/>
              </w:rPr>
            </w:pPr>
          </w:p>
        </w:tc>
        <w:tc>
          <w:tcPr>
            <w:tcW w:w="8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0.51</w:t>
            </w:r>
          </w:p>
        </w:tc>
        <w:tc>
          <w:tcPr>
            <w:tcW w:w="14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w:t>
            </w:r>
            <w:r>
              <w:rPr>
                <w:rFonts w:hint="eastAsia" w:ascii="宋体" w:hAnsi="宋体" w:cs="宋体"/>
                <w:i w:val="0"/>
                <w:color w:val="auto"/>
                <w:kern w:val="0"/>
                <w:sz w:val="18"/>
                <w:szCs w:val="18"/>
                <w:u w:val="none"/>
                <w:lang w:val="en-US" w:eastAsia="zh-CN" w:bidi="ar"/>
              </w:rPr>
              <w:t>1</w:t>
            </w:r>
          </w:p>
        </w:tc>
      </w:tr>
    </w:tbl>
    <w:p>
      <w:pPr>
        <w:snapToGrid w:val="0"/>
        <w:spacing w:line="520" w:lineRule="exact"/>
        <w:ind w:firstLine="480" w:firstLineChars="200"/>
        <w:jc w:val="right"/>
        <w:rPr>
          <w:rFonts w:hint="default" w:ascii="仿宋_GB2312" w:hAnsi="仿宋" w:eastAsia="仿宋_GB2312"/>
          <w:color w:val="auto"/>
          <w:sz w:val="24"/>
          <w:szCs w:val="24"/>
          <w:lang w:val="en-US" w:eastAsia="zh-CN"/>
        </w:rPr>
      </w:pPr>
      <w:r>
        <w:rPr>
          <w:rFonts w:hint="eastAsia" w:ascii="仿宋_GB2312" w:hAnsi="仿宋" w:eastAsia="仿宋_GB2312"/>
          <w:color w:val="auto"/>
          <w:sz w:val="24"/>
          <w:szCs w:val="24"/>
          <w:lang w:val="en-US" w:eastAsia="zh-CN"/>
        </w:rPr>
        <w:t>金额单位：万元</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项目资金收入</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万元，其中：财政拨款</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万元，占资金来源100%。</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（2）支出结构分析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本年支出</w:t>
      </w:r>
      <w:r>
        <w:rPr>
          <w:rFonts w:hint="eastAsia" w:ascii="仿宋_GB2312" w:hAnsi="仿宋" w:eastAsia="仿宋_GB2312"/>
          <w:color w:val="auto"/>
          <w:sz w:val="32"/>
          <w:szCs w:val="32"/>
          <w:lang w:val="en-US" w:eastAsia="zh-CN"/>
        </w:rPr>
        <w:t>3355.11</w:t>
      </w:r>
      <w:r>
        <w:rPr>
          <w:rFonts w:hint="eastAsia" w:ascii="仿宋_GB2312" w:hAnsi="仿宋" w:eastAsia="仿宋_GB2312"/>
          <w:color w:val="auto"/>
          <w:sz w:val="32"/>
          <w:szCs w:val="32"/>
        </w:rPr>
        <w:t>万元，其中：</w:t>
      </w:r>
    </w:p>
    <w:tbl>
      <w:tblPr>
        <w:tblStyle w:val="8"/>
        <w:tblpPr w:leftFromText="180" w:rightFromText="180" w:vertAnchor="text" w:horzAnchor="page" w:tblpX="2003" w:tblpY="182"/>
        <w:tblOverlap w:val="never"/>
        <w:tblW w:w="0" w:type="auto"/>
        <w:tblInd w:w="0" w:type="dxa"/>
        <w:tblLayout w:type="fixed"/>
        <w:tblCellMar>
          <w:top w:w="0" w:type="dxa"/>
          <w:left w:w="0" w:type="dxa"/>
          <w:bottom w:w="0" w:type="dxa"/>
          <w:right w:w="0" w:type="dxa"/>
        </w:tblCellMar>
      </w:tblPr>
      <w:tblGrid>
        <w:gridCol w:w="1125"/>
        <w:gridCol w:w="1155"/>
        <w:gridCol w:w="1215"/>
        <w:gridCol w:w="855"/>
        <w:gridCol w:w="1065"/>
      </w:tblGrid>
      <w:tr>
        <w:tblPrEx>
          <w:tblCellMar>
            <w:top w:w="0" w:type="dxa"/>
            <w:left w:w="0" w:type="dxa"/>
            <w:bottom w:w="0" w:type="dxa"/>
            <w:right w:w="0" w:type="dxa"/>
          </w:tblCellMar>
        </w:tblPrEx>
        <w:trPr>
          <w:trHeight w:val="312" w:hRule="atLeast"/>
        </w:trPr>
        <w:tc>
          <w:tcPr>
            <w:tcW w:w="5415" w:type="dxa"/>
            <w:gridSpan w:val="5"/>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金额单位：万元</w:t>
            </w:r>
          </w:p>
        </w:tc>
      </w:tr>
      <w:tr>
        <w:tblPrEx>
          <w:tblCellMar>
            <w:top w:w="0" w:type="dxa"/>
            <w:left w:w="0" w:type="dxa"/>
            <w:bottom w:w="0" w:type="dxa"/>
            <w:right w:w="0" w:type="dxa"/>
          </w:tblCellMar>
        </w:tblPrEx>
        <w:trPr>
          <w:trHeight w:val="402" w:hRule="atLeast"/>
        </w:trPr>
        <w:tc>
          <w:tcPr>
            <w:tcW w:w="11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本年支出</w:t>
            </w:r>
          </w:p>
        </w:tc>
        <w:tc>
          <w:tcPr>
            <w:tcW w:w="429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按资金来源</w:t>
            </w:r>
          </w:p>
        </w:tc>
      </w:tr>
      <w:tr>
        <w:tblPrEx>
          <w:tblCellMar>
            <w:top w:w="0" w:type="dxa"/>
            <w:left w:w="0" w:type="dxa"/>
            <w:bottom w:w="0" w:type="dxa"/>
            <w:right w:w="0" w:type="dxa"/>
          </w:tblCellMar>
        </w:tblPrEx>
        <w:trPr>
          <w:trHeight w:val="480"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财政拨款支出</w:t>
            </w:r>
          </w:p>
        </w:tc>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占本年支出%</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其他</w:t>
            </w:r>
          </w:p>
        </w:tc>
        <w:tc>
          <w:tcPr>
            <w:tcW w:w="10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占本年支出%</w:t>
            </w:r>
          </w:p>
        </w:tc>
      </w:tr>
      <w:tr>
        <w:tblPrEx>
          <w:tblCellMar>
            <w:top w:w="0" w:type="dxa"/>
            <w:left w:w="0" w:type="dxa"/>
            <w:bottom w:w="0" w:type="dxa"/>
            <w:right w:w="0" w:type="dxa"/>
          </w:tblCellMar>
        </w:tblPrEx>
        <w:trPr>
          <w:trHeight w:val="402"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589" w:hRule="atLeast"/>
        </w:trPr>
        <w:tc>
          <w:tcPr>
            <w:tcW w:w="11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c>
          <w:tcPr>
            <w:tcW w:w="10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2"/>
                <w:szCs w:val="22"/>
                <w:u w:val="none"/>
              </w:rPr>
            </w:pPr>
          </w:p>
        </w:tc>
      </w:tr>
      <w:tr>
        <w:tblPrEx>
          <w:tblCellMar>
            <w:top w:w="0" w:type="dxa"/>
            <w:left w:w="0" w:type="dxa"/>
            <w:bottom w:w="0" w:type="dxa"/>
            <w:right w:w="0" w:type="dxa"/>
          </w:tblCellMar>
        </w:tblPrEx>
        <w:trPr>
          <w:trHeight w:val="402" w:hRule="atLeast"/>
        </w:trPr>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14</w:t>
            </w:r>
          </w:p>
        </w:tc>
      </w:tr>
      <w:tr>
        <w:tblPrEx>
          <w:tblCellMar>
            <w:top w:w="0" w:type="dxa"/>
            <w:left w:w="0" w:type="dxa"/>
            <w:bottom w:w="0" w:type="dxa"/>
            <w:right w:w="0" w:type="dxa"/>
          </w:tblCellMar>
        </w:tblPrEx>
        <w:trPr>
          <w:trHeight w:val="402" w:hRule="atLeast"/>
        </w:trPr>
        <w:tc>
          <w:tcPr>
            <w:tcW w:w="11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3355.11</w:t>
            </w:r>
            <w:r>
              <w:rPr>
                <w:rFonts w:hint="eastAsia" w:ascii="宋体" w:hAnsi="宋体" w:eastAsia="宋体" w:cs="宋体"/>
                <w:i w:val="0"/>
                <w:color w:val="auto"/>
                <w:kern w:val="0"/>
                <w:sz w:val="22"/>
                <w:szCs w:val="22"/>
                <w:u w:val="none"/>
                <w:lang w:val="en-US" w:eastAsia="zh-CN" w:bidi="ar"/>
              </w:rPr>
              <w:t xml:space="preserve"> </w:t>
            </w:r>
          </w:p>
        </w:tc>
        <w:tc>
          <w:tcPr>
            <w:tcW w:w="11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3354.97</w:t>
            </w:r>
            <w:r>
              <w:rPr>
                <w:rFonts w:hint="eastAsia" w:ascii="宋体" w:hAnsi="宋体" w:eastAsia="宋体" w:cs="宋体"/>
                <w:i w:val="0"/>
                <w:color w:val="auto"/>
                <w:kern w:val="0"/>
                <w:sz w:val="22"/>
                <w:szCs w:val="22"/>
                <w:u w:val="none"/>
                <w:lang w:val="en-US" w:eastAsia="zh-CN" w:bidi="ar"/>
              </w:rPr>
              <w:t xml:space="preserve"> </w:t>
            </w:r>
          </w:p>
        </w:tc>
        <w:tc>
          <w:tcPr>
            <w:tcW w:w="12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100</w:t>
            </w: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0.14</w:t>
            </w:r>
            <w:r>
              <w:rPr>
                <w:rFonts w:hint="eastAsia" w:ascii="宋体" w:hAnsi="宋体" w:eastAsia="宋体" w:cs="宋体"/>
                <w:i w:val="0"/>
                <w:color w:val="auto"/>
                <w:kern w:val="0"/>
                <w:sz w:val="22"/>
                <w:szCs w:val="22"/>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2"/>
                <w:szCs w:val="22"/>
                <w:u w:val="none"/>
                <w:lang w:val="en-US"/>
              </w:rPr>
            </w:pPr>
            <w:r>
              <w:rPr>
                <w:rFonts w:hint="eastAsia" w:ascii="宋体" w:hAnsi="宋体" w:cs="宋体"/>
                <w:i w:val="0"/>
                <w:color w:val="auto"/>
                <w:kern w:val="0"/>
                <w:sz w:val="22"/>
                <w:szCs w:val="22"/>
                <w:u w:val="none"/>
                <w:lang w:val="en-US" w:eastAsia="zh-CN" w:bidi="ar"/>
              </w:rPr>
              <w:t>0</w:t>
            </w:r>
          </w:p>
        </w:tc>
      </w:tr>
    </w:tbl>
    <w:p>
      <w:pPr>
        <w:snapToGrid w:val="0"/>
        <w:spacing w:line="520" w:lineRule="exact"/>
        <w:ind w:firstLine="640" w:firstLineChars="200"/>
        <w:rPr>
          <w:rFonts w:hint="eastAsia" w:ascii="仿宋_GB2312" w:hAnsi="仿宋" w:eastAsia="仿宋_GB2312"/>
          <w:color w:val="auto"/>
          <w:sz w:val="32"/>
          <w:szCs w:val="32"/>
          <w:lang w:eastAsia="zh-CN"/>
        </w:rPr>
      </w:pPr>
      <w:r>
        <w:rPr>
          <w:rFonts w:hint="default" w:ascii="Calibri" w:hAnsi="Calibri" w:eastAsia="仿宋_GB2312" w:cs="Calibri"/>
          <w:color w:val="auto"/>
          <w:sz w:val="32"/>
          <w:szCs w:val="32"/>
        </w:rPr>
        <w:t>①</w:t>
      </w:r>
      <w:r>
        <w:rPr>
          <w:rFonts w:hint="eastAsia" w:ascii="仿宋_GB2312" w:hAnsi="仿宋" w:eastAsia="仿宋_GB2312"/>
          <w:color w:val="auto"/>
          <w:sz w:val="32"/>
          <w:szCs w:val="32"/>
        </w:rPr>
        <w:t>按资金来源划分：财政拨款支出</w:t>
      </w:r>
      <w:r>
        <w:rPr>
          <w:rFonts w:hint="eastAsia" w:ascii="仿宋_GB2312" w:hAnsi="仿宋" w:eastAsia="仿宋_GB2312"/>
          <w:color w:val="auto"/>
          <w:sz w:val="32"/>
          <w:szCs w:val="32"/>
          <w:lang w:val="en-US" w:eastAsia="zh-CN"/>
        </w:rPr>
        <w:t>3354.97</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%；其他支出0.</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万元，占本年支出0%</w:t>
      </w:r>
      <w:r>
        <w:rPr>
          <w:rFonts w:hint="eastAsia" w:ascii="仿宋_GB2312" w:hAnsi="仿宋" w:eastAsia="仿宋_GB2312"/>
          <w:color w:val="auto"/>
          <w:sz w:val="32"/>
          <w:szCs w:val="32"/>
          <w:lang w:eastAsia="zh-CN"/>
        </w:rPr>
        <w:t>。</w:t>
      </w:r>
    </w:p>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240" w:lineRule="auto"/>
        <w:ind w:firstLine="420" w:firstLineChars="200"/>
        <w:rPr>
          <w:rFonts w:hint="eastAsia" w:ascii="仿宋_GB2312" w:hAnsi="仿宋" w:eastAsia="仿宋_GB2312"/>
          <w:color w:val="auto"/>
          <w:sz w:val="32"/>
          <w:szCs w:val="32"/>
        </w:rPr>
      </w:pPr>
      <w:r>
        <w:rPr>
          <w:color w:val="auto"/>
        </w:rPr>
        <w:drawing>
          <wp:inline distT="0" distB="0" distL="114300" distR="114300">
            <wp:extent cx="3771900" cy="2581275"/>
            <wp:effectExtent l="4445" t="5080" r="14605" b="4445"/>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hint="default" w:ascii="Calibri" w:hAnsi="Calibri" w:eastAsia="仿宋_GB2312" w:cs="Calibri"/>
          <w:color w:val="auto"/>
          <w:sz w:val="32"/>
          <w:szCs w:val="32"/>
        </w:rPr>
        <w:t>②</w:t>
      </w:r>
      <w:r>
        <w:rPr>
          <w:rFonts w:hint="eastAsia" w:ascii="仿宋_GB2312" w:hAnsi="仿宋" w:eastAsia="仿宋_GB2312"/>
          <w:color w:val="auto"/>
          <w:sz w:val="32"/>
          <w:szCs w:val="32"/>
        </w:rPr>
        <w:t>按支出性质划分：基本支出</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67.1</w:t>
      </w:r>
      <w:r>
        <w:rPr>
          <w:rFonts w:hint="eastAsia" w:ascii="仿宋_GB2312" w:hAnsi="仿宋" w:eastAsia="仿宋_GB2312"/>
          <w:color w:val="auto"/>
          <w:sz w:val="32"/>
          <w:szCs w:val="32"/>
        </w:rPr>
        <w:t>%；项目支出</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32.9</w:t>
      </w:r>
      <w:r>
        <w:rPr>
          <w:rFonts w:hint="eastAsia" w:ascii="仿宋_GB2312" w:hAnsi="仿宋" w:eastAsia="仿宋_GB2312"/>
          <w:color w:val="auto"/>
          <w:sz w:val="32"/>
          <w:szCs w:val="32"/>
        </w:rPr>
        <w:t>%。</w:t>
      </w:r>
    </w:p>
    <w:p>
      <w:pPr>
        <w:snapToGrid w:val="0"/>
        <w:spacing w:line="240" w:lineRule="auto"/>
        <w:ind w:firstLine="640" w:firstLineChars="200"/>
        <w:rPr>
          <w:rFonts w:hint="eastAsia" w:ascii="仿宋_GB2312" w:hAnsi="仿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default" w:ascii="Calibri" w:hAnsi="Calibri" w:eastAsia="仿宋_GB2312" w:cs="Calibri"/>
          <w:color w:val="auto"/>
          <w:sz w:val="32"/>
          <w:szCs w:val="32"/>
        </w:rPr>
        <w:t>③</w:t>
      </w:r>
      <w:r>
        <w:rPr>
          <w:rFonts w:hint="eastAsia" w:ascii="仿宋_GB2312" w:hAnsi="仿宋" w:eastAsia="仿宋_GB2312"/>
          <w:color w:val="auto"/>
          <w:sz w:val="32"/>
          <w:szCs w:val="32"/>
        </w:rPr>
        <w:t>按支出经济分类：工资福利支出</w:t>
      </w:r>
      <w:r>
        <w:rPr>
          <w:rFonts w:hint="eastAsia" w:ascii="仿宋_GB2312" w:hAnsi="仿宋" w:eastAsia="仿宋_GB2312"/>
          <w:color w:val="auto"/>
          <w:sz w:val="32"/>
          <w:szCs w:val="32"/>
          <w:lang w:val="en-US" w:eastAsia="zh-CN"/>
        </w:rPr>
        <w:t>2673.72</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79.69</w:t>
      </w:r>
      <w:r>
        <w:rPr>
          <w:rFonts w:hint="eastAsia" w:ascii="仿宋_GB2312" w:hAnsi="仿宋" w:eastAsia="仿宋_GB2312"/>
          <w:color w:val="auto"/>
          <w:sz w:val="32"/>
          <w:szCs w:val="32"/>
        </w:rPr>
        <w:t>%；商品和服务支出</w:t>
      </w:r>
      <w:r>
        <w:rPr>
          <w:rFonts w:hint="eastAsia" w:ascii="仿宋_GB2312" w:hAnsi="仿宋" w:eastAsia="仿宋_GB2312"/>
          <w:color w:val="auto"/>
          <w:sz w:val="32"/>
          <w:szCs w:val="32"/>
          <w:lang w:val="en-US" w:eastAsia="zh-CN"/>
        </w:rPr>
        <w:t>558.6</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16.65</w:t>
      </w:r>
      <w:r>
        <w:rPr>
          <w:rFonts w:hint="eastAsia" w:ascii="仿宋_GB2312" w:hAnsi="仿宋" w:eastAsia="仿宋_GB2312"/>
          <w:color w:val="auto"/>
          <w:sz w:val="32"/>
          <w:szCs w:val="32"/>
        </w:rPr>
        <w:t>%；对个人和家庭的补助支出</w:t>
      </w:r>
      <w:r>
        <w:rPr>
          <w:rFonts w:hint="eastAsia" w:ascii="仿宋_GB2312" w:hAnsi="仿宋" w:eastAsia="仿宋_GB2312"/>
          <w:color w:val="auto"/>
          <w:sz w:val="32"/>
          <w:szCs w:val="32"/>
          <w:lang w:val="en-US" w:eastAsia="zh-CN"/>
        </w:rPr>
        <w:t>4.44</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0.13</w:t>
      </w:r>
      <w:r>
        <w:rPr>
          <w:rFonts w:hint="eastAsia" w:ascii="仿宋_GB2312" w:hAnsi="仿宋" w:eastAsia="仿宋_GB2312"/>
          <w:color w:val="auto"/>
          <w:sz w:val="32"/>
          <w:szCs w:val="32"/>
        </w:rPr>
        <w:t>%；资本性支出</w:t>
      </w:r>
      <w:r>
        <w:rPr>
          <w:rFonts w:hint="eastAsia" w:ascii="仿宋_GB2312" w:hAnsi="仿宋" w:eastAsia="仿宋_GB2312"/>
          <w:color w:val="auto"/>
          <w:sz w:val="32"/>
          <w:szCs w:val="32"/>
          <w:lang w:val="en-US" w:eastAsia="zh-CN"/>
        </w:rPr>
        <w:t>118.36</w:t>
      </w:r>
      <w:r>
        <w:rPr>
          <w:rFonts w:hint="eastAsia" w:ascii="仿宋_GB2312" w:hAnsi="仿宋" w:eastAsia="仿宋_GB2312"/>
          <w:color w:val="auto"/>
          <w:sz w:val="32"/>
          <w:szCs w:val="32"/>
        </w:rPr>
        <w:t>万元，占本年支出</w:t>
      </w:r>
      <w:r>
        <w:rPr>
          <w:rFonts w:hint="eastAsia" w:ascii="仿宋_GB2312" w:hAnsi="仿宋" w:eastAsia="仿宋_GB2312"/>
          <w:color w:val="auto"/>
          <w:sz w:val="32"/>
          <w:szCs w:val="32"/>
          <w:lang w:val="en-US" w:eastAsia="zh-CN"/>
        </w:rPr>
        <w:t>3.53</w:t>
      </w:r>
      <w:r>
        <w:rPr>
          <w:rFonts w:hint="eastAsia" w:ascii="仿宋_GB2312" w:hAnsi="仿宋" w:eastAsia="仿宋_GB2312"/>
          <w:color w:val="auto"/>
          <w:sz w:val="32"/>
          <w:szCs w:val="32"/>
        </w:rPr>
        <w:t>%。</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240" w:lineRule="auto"/>
        <w:ind w:firstLine="420" w:firstLineChars="200"/>
        <w:rPr>
          <w:rFonts w:hint="eastAsia" w:ascii="仿宋_GB2312" w:hAnsi="仿宋" w:eastAsia="仿宋_GB2312"/>
          <w:b/>
          <w:color w:val="auto"/>
          <w:sz w:val="32"/>
          <w:szCs w:val="32"/>
        </w:rPr>
      </w:pPr>
      <w:r>
        <w:rPr>
          <w:color w:val="auto"/>
        </w:rPr>
        <w:drawing>
          <wp:inline distT="0" distB="0" distL="114300" distR="114300">
            <wp:extent cx="4572000" cy="2743200"/>
            <wp:effectExtent l="4445" t="4445" r="14605" b="1460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napToGrid w:val="0"/>
        <w:spacing w:line="520" w:lineRule="exact"/>
        <w:ind w:firstLine="643" w:firstLineChars="200"/>
        <w:rPr>
          <w:rFonts w:hint="eastAsia" w:ascii="仿宋_GB2312" w:hAnsi="仿宋" w:eastAsia="仿宋_GB2312"/>
          <w:b/>
          <w:color w:val="auto"/>
          <w:sz w:val="32"/>
          <w:szCs w:val="32"/>
        </w:rPr>
      </w:pPr>
    </w:p>
    <w:p>
      <w:pPr>
        <w:snapToGrid w:val="0"/>
        <w:spacing w:line="52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3．支出按经济分类科目分析。</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（1）“三公”经费支出情况</w:t>
      </w: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年度“三公”经费预算数</w:t>
      </w:r>
      <w:r>
        <w:rPr>
          <w:rFonts w:hint="eastAsia" w:ascii="仿宋_GB2312" w:eastAsia="仿宋_GB2312"/>
          <w:color w:val="auto"/>
          <w:sz w:val="32"/>
          <w:szCs w:val="32"/>
          <w:lang w:val="en-US" w:eastAsia="zh-CN"/>
        </w:rPr>
        <w:t>16.77</w:t>
      </w:r>
      <w:r>
        <w:rPr>
          <w:rFonts w:hint="eastAsia" w:ascii="仿宋_GB2312" w:eastAsia="仿宋_GB2312"/>
          <w:color w:val="auto"/>
          <w:sz w:val="32"/>
          <w:szCs w:val="32"/>
        </w:rPr>
        <w:t>万元，决算数</w:t>
      </w:r>
      <w:r>
        <w:rPr>
          <w:rFonts w:hint="eastAsia" w:ascii="仿宋_GB2312" w:eastAsia="仿宋_GB2312"/>
          <w:color w:val="auto"/>
          <w:sz w:val="32"/>
          <w:szCs w:val="32"/>
          <w:lang w:val="en-US" w:eastAsia="zh-CN"/>
        </w:rPr>
        <w:t>2.93</w:t>
      </w:r>
      <w:r>
        <w:rPr>
          <w:rFonts w:hint="eastAsia" w:ascii="仿宋_GB2312" w:eastAsia="仿宋_GB2312"/>
          <w:color w:val="auto"/>
          <w:sz w:val="32"/>
          <w:szCs w:val="32"/>
        </w:rPr>
        <w:t>万元，预决算差异率</w:t>
      </w:r>
      <w:r>
        <w:rPr>
          <w:rFonts w:hint="eastAsia" w:ascii="仿宋_GB2312" w:eastAsia="仿宋_GB2312"/>
          <w:color w:val="auto"/>
          <w:sz w:val="32"/>
          <w:szCs w:val="32"/>
          <w:lang w:val="en-US" w:eastAsia="zh-CN"/>
        </w:rPr>
        <w:t>-61.35</w:t>
      </w:r>
      <w:r>
        <w:rPr>
          <w:rFonts w:hint="eastAsia" w:ascii="仿宋_GB2312" w:eastAsia="仿宋_GB2312"/>
          <w:color w:val="auto"/>
          <w:sz w:val="32"/>
          <w:szCs w:val="32"/>
        </w:rPr>
        <w:t>%。</w:t>
      </w:r>
      <w:r>
        <w:rPr>
          <w:rFonts w:hint="eastAsia" w:ascii="仿宋_GB2312" w:eastAsia="仿宋_GB2312"/>
          <w:color w:val="auto"/>
          <w:sz w:val="32"/>
          <w:szCs w:val="32"/>
          <w:lang w:eastAsia="zh-CN"/>
        </w:rPr>
        <w:t>（详见下表）</w:t>
      </w:r>
    </w:p>
    <w:tbl>
      <w:tblPr>
        <w:tblStyle w:val="8"/>
        <w:tblpPr w:leftFromText="180" w:rightFromText="180" w:vertAnchor="text" w:horzAnchor="page" w:tblpX="593" w:tblpY="277"/>
        <w:tblOverlap w:val="never"/>
        <w:tblW w:w="10965" w:type="dxa"/>
        <w:tblInd w:w="0" w:type="dxa"/>
        <w:tblLayout w:type="fixed"/>
        <w:tblCellMar>
          <w:top w:w="0" w:type="dxa"/>
          <w:left w:w="0" w:type="dxa"/>
          <w:bottom w:w="0" w:type="dxa"/>
          <w:right w:w="0" w:type="dxa"/>
        </w:tblCellMar>
      </w:tblPr>
      <w:tblGrid>
        <w:gridCol w:w="612"/>
        <w:gridCol w:w="628"/>
        <w:gridCol w:w="762"/>
        <w:gridCol w:w="450"/>
        <w:gridCol w:w="430"/>
        <w:gridCol w:w="450"/>
        <w:gridCol w:w="613"/>
        <w:gridCol w:w="628"/>
        <w:gridCol w:w="762"/>
        <w:gridCol w:w="552"/>
        <w:gridCol w:w="597"/>
        <w:gridCol w:w="643"/>
        <w:gridCol w:w="597"/>
        <w:gridCol w:w="538"/>
        <w:gridCol w:w="836"/>
        <w:gridCol w:w="567"/>
        <w:gridCol w:w="538"/>
        <w:gridCol w:w="762"/>
      </w:tblGrid>
      <w:tr>
        <w:tblPrEx>
          <w:tblCellMar>
            <w:top w:w="0" w:type="dxa"/>
            <w:left w:w="0" w:type="dxa"/>
            <w:bottom w:w="0" w:type="dxa"/>
            <w:right w:w="0" w:type="dxa"/>
          </w:tblCellMar>
        </w:tblPrEx>
        <w:trPr>
          <w:trHeight w:val="580" w:hRule="atLeast"/>
        </w:trPr>
        <w:tc>
          <w:tcPr>
            <w:tcW w:w="612" w:type="dxa"/>
            <w:tcBorders>
              <w:top w:val="nil"/>
              <w:left w:val="nil"/>
              <w:bottom w:val="single" w:color="000000" w:sz="4" w:space="0"/>
              <w:right w:val="nil"/>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053" w:type="dxa"/>
            <w:gridSpan w:val="15"/>
            <w:tcBorders>
              <w:top w:val="nil"/>
              <w:left w:val="nil"/>
              <w:bottom w:val="single" w:color="000000" w:sz="4" w:space="0"/>
              <w:right w:val="nil"/>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20</w:t>
            </w:r>
            <w:r>
              <w:rPr>
                <w:rFonts w:hint="eastAsia" w:ascii="宋体" w:hAnsi="宋体" w:cs="宋体"/>
                <w:i w:val="0"/>
                <w:color w:val="auto"/>
                <w:sz w:val="20"/>
                <w:szCs w:val="20"/>
                <w:u w:val="none"/>
                <w:lang w:val="en-US" w:eastAsia="zh-CN"/>
              </w:rPr>
              <w:t>20</w:t>
            </w:r>
            <w:r>
              <w:rPr>
                <w:rFonts w:hint="eastAsia" w:ascii="宋体" w:hAnsi="宋体" w:eastAsia="宋体" w:cs="宋体"/>
                <w:i w:val="0"/>
                <w:color w:val="auto"/>
                <w:sz w:val="20"/>
                <w:szCs w:val="20"/>
                <w:u w:val="none"/>
                <w:lang w:val="en-US" w:eastAsia="zh-CN"/>
              </w:rPr>
              <w:t>年度“三公”经费预决算对比情况表</w:t>
            </w:r>
          </w:p>
        </w:tc>
        <w:tc>
          <w:tcPr>
            <w:tcW w:w="538" w:type="dxa"/>
            <w:tcBorders>
              <w:top w:val="nil"/>
              <w:left w:val="nil"/>
              <w:bottom w:val="single" w:color="000000" w:sz="4" w:space="0"/>
              <w:right w:val="nil"/>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金额单位</w:t>
            </w:r>
          </w:p>
        </w:tc>
        <w:tc>
          <w:tcPr>
            <w:tcW w:w="762" w:type="dxa"/>
            <w:tcBorders>
              <w:top w:val="nil"/>
              <w:left w:val="nil"/>
              <w:bottom w:val="single" w:color="000000" w:sz="4" w:space="0"/>
              <w:right w:val="nil"/>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：万元</w:t>
            </w:r>
          </w:p>
        </w:tc>
      </w:tr>
      <w:tr>
        <w:tblPrEx>
          <w:tblCellMar>
            <w:top w:w="0" w:type="dxa"/>
            <w:left w:w="0" w:type="dxa"/>
            <w:bottom w:w="0" w:type="dxa"/>
            <w:right w:w="0" w:type="dxa"/>
          </w:tblCellMar>
        </w:tblPrEx>
        <w:trPr>
          <w:trHeight w:val="714" w:hRule="atLeast"/>
        </w:trPr>
        <w:tc>
          <w:tcPr>
            <w:tcW w:w="61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“三公”经费预算数</w:t>
            </w:r>
          </w:p>
        </w:tc>
        <w:tc>
          <w:tcPr>
            <w:tcW w:w="62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“三公”经费决算数</w:t>
            </w:r>
          </w:p>
        </w:tc>
        <w:tc>
          <w:tcPr>
            <w:tcW w:w="76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c>
          <w:tcPr>
            <w:tcW w:w="1330"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因公出国（境）费</w:t>
            </w:r>
          </w:p>
        </w:tc>
        <w:tc>
          <w:tcPr>
            <w:tcW w:w="5766" w:type="dxa"/>
            <w:gridSpan w:val="9"/>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公务用车购置及运行维护费</w:t>
            </w:r>
          </w:p>
        </w:tc>
        <w:tc>
          <w:tcPr>
            <w:tcW w:w="1867"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公务接待费</w:t>
            </w:r>
          </w:p>
        </w:tc>
      </w:tr>
      <w:tr>
        <w:tblPrEx>
          <w:tblCellMar>
            <w:top w:w="0" w:type="dxa"/>
            <w:left w:w="0" w:type="dxa"/>
            <w:bottom w:w="0" w:type="dxa"/>
            <w:right w:w="0" w:type="dxa"/>
          </w:tblCellMar>
        </w:tblPrEx>
        <w:trPr>
          <w:trHeight w:val="447" w:hRule="atLeast"/>
        </w:trPr>
        <w:tc>
          <w:tcPr>
            <w:tcW w:w="61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2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预算数</w:t>
            </w:r>
          </w:p>
        </w:tc>
        <w:tc>
          <w:tcPr>
            <w:tcW w:w="43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决算数</w:t>
            </w:r>
          </w:p>
        </w:tc>
        <w:tc>
          <w:tcPr>
            <w:tcW w:w="4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c>
          <w:tcPr>
            <w:tcW w:w="613"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预算数</w:t>
            </w:r>
          </w:p>
        </w:tc>
        <w:tc>
          <w:tcPr>
            <w:tcW w:w="62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决算数</w:t>
            </w:r>
          </w:p>
        </w:tc>
        <w:tc>
          <w:tcPr>
            <w:tcW w:w="76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c>
          <w:tcPr>
            <w:tcW w:w="3763"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w:t>
            </w:r>
          </w:p>
        </w:tc>
        <w:tc>
          <w:tcPr>
            <w:tcW w:w="567"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预算数</w:t>
            </w:r>
          </w:p>
        </w:tc>
        <w:tc>
          <w:tcPr>
            <w:tcW w:w="53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决算数</w:t>
            </w:r>
          </w:p>
        </w:tc>
        <w:tc>
          <w:tcPr>
            <w:tcW w:w="76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r>
      <w:tr>
        <w:tblPrEx>
          <w:tblCellMar>
            <w:top w:w="0" w:type="dxa"/>
            <w:left w:w="0" w:type="dxa"/>
            <w:bottom w:w="0" w:type="dxa"/>
            <w:right w:w="0" w:type="dxa"/>
          </w:tblCellMar>
        </w:tblPrEx>
        <w:trPr>
          <w:trHeight w:val="612" w:hRule="atLeast"/>
        </w:trPr>
        <w:tc>
          <w:tcPr>
            <w:tcW w:w="61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2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3"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2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92"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公务用车购置费</w:t>
            </w:r>
          </w:p>
        </w:tc>
        <w:tc>
          <w:tcPr>
            <w:tcW w:w="1971"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公务用车运行维护费</w:t>
            </w:r>
          </w:p>
        </w:tc>
        <w:tc>
          <w:tcPr>
            <w:tcW w:w="567"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860" w:hRule="atLeast"/>
        </w:trPr>
        <w:tc>
          <w:tcPr>
            <w:tcW w:w="61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2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4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3"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2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预算数</w:t>
            </w:r>
          </w:p>
        </w:tc>
        <w:tc>
          <w:tcPr>
            <w:tcW w:w="59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决算数</w:t>
            </w:r>
          </w:p>
        </w:tc>
        <w:tc>
          <w:tcPr>
            <w:tcW w:w="643"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c>
          <w:tcPr>
            <w:tcW w:w="597"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预算数</w:t>
            </w:r>
          </w:p>
        </w:tc>
        <w:tc>
          <w:tcPr>
            <w:tcW w:w="53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决算数</w:t>
            </w:r>
          </w:p>
        </w:tc>
        <w:tc>
          <w:tcPr>
            <w:tcW w:w="83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预决算差异率%</w:t>
            </w:r>
          </w:p>
        </w:tc>
        <w:tc>
          <w:tcPr>
            <w:tcW w:w="567"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3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6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1040" w:hRule="atLeast"/>
        </w:trPr>
        <w:tc>
          <w:tcPr>
            <w:tcW w:w="61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16.77</w:t>
            </w:r>
          </w:p>
        </w:tc>
        <w:tc>
          <w:tcPr>
            <w:tcW w:w="62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7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-82.53</w:t>
            </w:r>
          </w:p>
        </w:tc>
        <w:tc>
          <w:tcPr>
            <w:tcW w:w="4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45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61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7.77</w:t>
            </w:r>
          </w:p>
        </w:tc>
        <w:tc>
          <w:tcPr>
            <w:tcW w:w="62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7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-62.29</w:t>
            </w:r>
          </w:p>
        </w:tc>
        <w:tc>
          <w:tcPr>
            <w:tcW w:w="55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c>
          <w:tcPr>
            <w:tcW w:w="59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c>
          <w:tcPr>
            <w:tcW w:w="643"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c>
          <w:tcPr>
            <w:tcW w:w="59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7.77</w:t>
            </w:r>
          </w:p>
        </w:tc>
        <w:tc>
          <w:tcPr>
            <w:tcW w:w="53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83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-62.29</w:t>
            </w:r>
          </w:p>
        </w:tc>
        <w:tc>
          <w:tcPr>
            <w:tcW w:w="567"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1.00</w:t>
            </w:r>
          </w:p>
        </w:tc>
        <w:tc>
          <w:tcPr>
            <w:tcW w:w="538"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w:t>
            </w:r>
          </w:p>
        </w:tc>
        <w:tc>
          <w:tcPr>
            <w:tcW w:w="762"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r>
    </w:tbl>
    <w:p>
      <w:pPr>
        <w:ind w:firstLine="640" w:firstLineChars="200"/>
        <w:rPr>
          <w:rFonts w:hint="eastAsia" w:ascii="仿宋_GB2312" w:eastAsia="仿宋_GB2312"/>
          <w:color w:val="auto"/>
          <w:sz w:val="32"/>
          <w:szCs w:val="32"/>
        </w:rPr>
      </w:pPr>
    </w:p>
    <w:p>
      <w:pPr>
        <w:ind w:firstLine="640" w:firstLineChars="200"/>
        <w:rPr>
          <w:rFonts w:hint="eastAsia" w:ascii="仿宋_GB2312" w:eastAsia="仿宋_GB2312"/>
          <w:color w:val="auto"/>
          <w:sz w:val="32"/>
          <w:szCs w:val="32"/>
          <w:lang w:eastAsia="zh-CN"/>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年度“三公”经费支出</w:t>
      </w:r>
      <w:r>
        <w:rPr>
          <w:rFonts w:hint="eastAsia" w:ascii="仿宋_GB2312" w:eastAsia="仿宋_GB2312"/>
          <w:color w:val="auto"/>
          <w:sz w:val="32"/>
          <w:szCs w:val="32"/>
          <w:lang w:val="en-US" w:eastAsia="zh-CN"/>
        </w:rPr>
        <w:t>2.93</w:t>
      </w:r>
      <w:r>
        <w:rPr>
          <w:rFonts w:hint="eastAsia" w:ascii="仿宋_GB2312" w:eastAsia="仿宋_GB2312"/>
          <w:color w:val="auto"/>
          <w:sz w:val="32"/>
          <w:szCs w:val="32"/>
        </w:rPr>
        <w:t>万元，与上年相比</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0.46</w:t>
      </w:r>
      <w:r>
        <w:rPr>
          <w:rFonts w:hint="eastAsia" w:ascii="仿宋_GB2312" w:eastAsia="仿宋_GB2312"/>
          <w:color w:val="auto"/>
          <w:sz w:val="32"/>
          <w:szCs w:val="32"/>
        </w:rPr>
        <w:t>万元，同比</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13.49</w:t>
      </w:r>
      <w:r>
        <w:rPr>
          <w:rFonts w:hint="eastAsia" w:ascii="仿宋_GB2312" w:eastAsia="仿宋_GB2312"/>
          <w:color w:val="auto"/>
          <w:sz w:val="32"/>
          <w:szCs w:val="32"/>
        </w:rPr>
        <w:t>%。</w:t>
      </w:r>
      <w:r>
        <w:rPr>
          <w:rFonts w:hint="eastAsia" w:ascii="仿宋_GB2312" w:eastAsia="仿宋_GB2312"/>
          <w:color w:val="auto"/>
          <w:sz w:val="32"/>
          <w:szCs w:val="32"/>
          <w:lang w:eastAsia="zh-CN"/>
        </w:rPr>
        <w:t>（详见下表）</w:t>
      </w:r>
    </w:p>
    <w:tbl>
      <w:tblPr>
        <w:tblStyle w:val="8"/>
        <w:tblpPr w:leftFromText="180" w:rightFromText="180" w:vertAnchor="text" w:horzAnchor="page" w:tblpX="878" w:tblpY="386"/>
        <w:tblOverlap w:val="never"/>
        <w:tblW w:w="10740" w:type="dxa"/>
        <w:tblInd w:w="0" w:type="dxa"/>
        <w:tblLayout w:type="fixed"/>
        <w:tblCellMar>
          <w:top w:w="0" w:type="dxa"/>
          <w:left w:w="0" w:type="dxa"/>
          <w:bottom w:w="0" w:type="dxa"/>
          <w:right w:w="0" w:type="dxa"/>
        </w:tblCellMar>
      </w:tblPr>
      <w:tblGrid>
        <w:gridCol w:w="660"/>
        <w:gridCol w:w="705"/>
        <w:gridCol w:w="570"/>
        <w:gridCol w:w="615"/>
        <w:gridCol w:w="600"/>
        <w:gridCol w:w="660"/>
        <w:gridCol w:w="690"/>
        <w:gridCol w:w="705"/>
        <w:gridCol w:w="615"/>
        <w:gridCol w:w="615"/>
        <w:gridCol w:w="600"/>
        <w:gridCol w:w="840"/>
        <w:gridCol w:w="525"/>
        <w:gridCol w:w="615"/>
        <w:gridCol w:w="555"/>
        <w:gridCol w:w="555"/>
        <w:gridCol w:w="615"/>
      </w:tblGrid>
      <w:tr>
        <w:tblPrEx>
          <w:tblCellMar>
            <w:top w:w="0" w:type="dxa"/>
            <w:left w:w="0" w:type="dxa"/>
            <w:bottom w:w="0" w:type="dxa"/>
            <w:right w:w="0" w:type="dxa"/>
          </w:tblCellMar>
        </w:tblPrEx>
        <w:trPr>
          <w:trHeight w:val="308" w:hRule="atLeast"/>
        </w:trPr>
        <w:tc>
          <w:tcPr>
            <w:tcW w:w="10740" w:type="dxa"/>
            <w:gridSpan w:val="17"/>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20</w:t>
            </w:r>
            <w:r>
              <w:rPr>
                <w:rFonts w:hint="eastAsia" w:ascii="宋体" w:hAnsi="宋体" w:cs="宋体"/>
                <w:i w:val="0"/>
                <w:color w:val="auto"/>
                <w:kern w:val="0"/>
                <w:sz w:val="20"/>
                <w:szCs w:val="20"/>
                <w:u w:val="none"/>
                <w:lang w:val="en-US" w:eastAsia="zh-CN" w:bidi="ar"/>
              </w:rPr>
              <w:t>20</w:t>
            </w:r>
            <w:r>
              <w:rPr>
                <w:rFonts w:hint="eastAsia" w:ascii="宋体" w:hAnsi="宋体" w:eastAsia="宋体" w:cs="宋体"/>
                <w:i w:val="0"/>
                <w:color w:val="auto"/>
                <w:kern w:val="0"/>
                <w:sz w:val="20"/>
                <w:szCs w:val="20"/>
                <w:u w:val="none"/>
                <w:lang w:val="en-US" w:eastAsia="zh-CN" w:bidi="ar"/>
              </w:rPr>
              <w:t>年度“三公”经费占比及上下年对比情况表                 金额单位：万元</w:t>
            </w:r>
          </w:p>
        </w:tc>
      </w:tr>
      <w:tr>
        <w:tblPrEx>
          <w:tblCellMar>
            <w:top w:w="0" w:type="dxa"/>
            <w:left w:w="0" w:type="dxa"/>
            <w:bottom w:w="0" w:type="dxa"/>
            <w:right w:w="0" w:type="dxa"/>
          </w:tblCellMar>
        </w:tblPrEx>
        <w:trPr>
          <w:trHeight w:val="308" w:hRule="atLeast"/>
        </w:trPr>
        <w:tc>
          <w:tcPr>
            <w:tcW w:w="66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70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9375" w:type="dxa"/>
            <w:gridSpan w:val="15"/>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w:t>
            </w:r>
          </w:p>
        </w:tc>
      </w:tr>
      <w:tr>
        <w:tblPrEx>
          <w:tblCellMar>
            <w:top w:w="0" w:type="dxa"/>
            <w:left w:w="0" w:type="dxa"/>
            <w:bottom w:w="0" w:type="dxa"/>
            <w:right w:w="0" w:type="dxa"/>
          </w:tblCellMar>
        </w:tblPrEx>
        <w:trPr>
          <w:trHeight w:val="308" w:hRule="atLeast"/>
        </w:trPr>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85"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因公出国（境）费</w:t>
            </w:r>
          </w:p>
        </w:tc>
        <w:tc>
          <w:tcPr>
            <w:tcW w:w="4725" w:type="dxa"/>
            <w:gridSpan w:val="7"/>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公务用车购置及运行维护费</w:t>
            </w:r>
          </w:p>
        </w:tc>
        <w:tc>
          <w:tcPr>
            <w:tcW w:w="2865" w:type="dxa"/>
            <w:gridSpan w:val="5"/>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公务接待费</w:t>
            </w:r>
          </w:p>
        </w:tc>
      </w:tr>
      <w:tr>
        <w:tblPrEx>
          <w:tblCellMar>
            <w:top w:w="0" w:type="dxa"/>
            <w:left w:w="0" w:type="dxa"/>
            <w:bottom w:w="0" w:type="dxa"/>
            <w:right w:w="0" w:type="dxa"/>
          </w:tblCellMar>
        </w:tblPrEx>
        <w:trPr>
          <w:trHeight w:val="308" w:hRule="atLeast"/>
        </w:trPr>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6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占“三公”经费支出比重%</w:t>
            </w:r>
          </w:p>
        </w:tc>
        <w:tc>
          <w:tcPr>
            <w:tcW w:w="66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9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70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占“三公”经费支出比重%</w:t>
            </w:r>
          </w:p>
        </w:tc>
        <w:tc>
          <w:tcPr>
            <w:tcW w:w="267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w:t>
            </w:r>
          </w:p>
        </w:tc>
        <w:tc>
          <w:tcPr>
            <w:tcW w:w="52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5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占“三公”经费支出比重%</w:t>
            </w:r>
          </w:p>
        </w:tc>
        <w:tc>
          <w:tcPr>
            <w:tcW w:w="117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w:t>
            </w:r>
          </w:p>
        </w:tc>
      </w:tr>
      <w:tr>
        <w:tblPrEx>
          <w:tblCellMar>
            <w:top w:w="0" w:type="dxa"/>
            <w:left w:w="0" w:type="dxa"/>
            <w:bottom w:w="0" w:type="dxa"/>
            <w:right w:w="0" w:type="dxa"/>
          </w:tblCellMar>
        </w:tblPrEx>
        <w:trPr>
          <w:trHeight w:val="720" w:hRule="atLeast"/>
        </w:trPr>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3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 xml:space="preserve">  公务用车购置费</w:t>
            </w:r>
          </w:p>
        </w:tc>
        <w:tc>
          <w:tcPr>
            <w:tcW w:w="144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公务用车运行维护费</w:t>
            </w:r>
          </w:p>
        </w:tc>
        <w:tc>
          <w:tcPr>
            <w:tcW w:w="5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70" w:type="dxa"/>
            <w:gridSpan w:val="2"/>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国内接待费</w:t>
            </w:r>
          </w:p>
        </w:tc>
      </w:tr>
      <w:tr>
        <w:tblPrEx>
          <w:tblCellMar>
            <w:top w:w="0" w:type="dxa"/>
            <w:left w:w="0" w:type="dxa"/>
            <w:bottom w:w="0" w:type="dxa"/>
            <w:right w:w="0" w:type="dxa"/>
          </w:tblCellMar>
        </w:tblPrEx>
        <w:trPr>
          <w:trHeight w:val="308" w:hRule="atLeast"/>
        </w:trPr>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6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84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5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小计</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r>
      <w:tr>
        <w:tblPrEx>
          <w:tblCellMar>
            <w:top w:w="0" w:type="dxa"/>
            <w:left w:w="0" w:type="dxa"/>
            <w:bottom w:w="0" w:type="dxa"/>
            <w:right w:w="0" w:type="dxa"/>
          </w:tblCellMar>
        </w:tblPrEx>
        <w:trPr>
          <w:trHeight w:val="820" w:hRule="atLeast"/>
        </w:trPr>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7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9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592" w:hRule="atLeast"/>
        </w:trPr>
        <w:tc>
          <w:tcPr>
            <w:tcW w:w="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7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-13.49</w:t>
            </w:r>
          </w:p>
        </w:tc>
        <w:tc>
          <w:tcPr>
            <w:tcW w:w="57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0.00</w:t>
            </w:r>
          </w:p>
        </w:tc>
        <w:tc>
          <w:tcPr>
            <w:tcW w:w="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6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-10.18</w:t>
            </w:r>
          </w:p>
        </w:tc>
        <w:tc>
          <w:tcPr>
            <w:tcW w:w="7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100</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-10</w:t>
            </w:r>
            <w:r>
              <w:rPr>
                <w:rFonts w:hint="eastAsia" w:ascii="宋体" w:hAnsi="宋体" w:eastAsia="宋体" w:cs="宋体"/>
                <w:i w:val="0"/>
                <w:color w:val="auto"/>
                <w:kern w:val="0"/>
                <w:sz w:val="20"/>
                <w:szCs w:val="20"/>
                <w:u w:val="none"/>
                <w:lang w:val="en-US" w:eastAsia="zh-CN" w:bidi="ar"/>
              </w:rPr>
              <w:t>0</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2.93</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w:t>
            </w:r>
            <w:r>
              <w:rPr>
                <w:rFonts w:hint="eastAsia" w:ascii="宋体" w:hAnsi="宋体" w:cs="宋体"/>
                <w:i w:val="0"/>
                <w:color w:val="auto"/>
                <w:kern w:val="0"/>
                <w:sz w:val="20"/>
                <w:szCs w:val="20"/>
                <w:u w:val="none"/>
                <w:lang w:val="en-US" w:eastAsia="zh-CN" w:bidi="ar"/>
              </w:rPr>
              <w:t>10.18</w:t>
            </w:r>
          </w:p>
        </w:tc>
        <w:tc>
          <w:tcPr>
            <w:tcW w:w="5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-100</w:t>
            </w:r>
          </w:p>
        </w:tc>
        <w:tc>
          <w:tcPr>
            <w:tcW w:w="5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w:t>
            </w:r>
          </w:p>
        </w:tc>
        <w:tc>
          <w:tcPr>
            <w:tcW w:w="5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0</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-100</w:t>
            </w:r>
          </w:p>
        </w:tc>
      </w:tr>
    </w:tbl>
    <w:p>
      <w:pPr>
        <w:ind w:firstLine="640" w:firstLineChars="200"/>
        <w:rPr>
          <w:rFonts w:hint="eastAsia" w:ascii="仿宋" w:hAnsi="仿宋" w:eastAsia="仿宋_GB2312"/>
          <w:color w:val="auto"/>
          <w:sz w:val="32"/>
          <w:szCs w:val="32"/>
          <w:lang w:eastAsia="zh-CN"/>
        </w:rPr>
      </w:pPr>
    </w:p>
    <w:p>
      <w:pPr>
        <w:ind w:firstLine="640" w:firstLineChars="200"/>
        <w:rPr>
          <w:rFonts w:hint="eastAsia" w:ascii="仿宋" w:hAnsi="仿宋" w:eastAsia="仿宋"/>
          <w:color w:val="auto"/>
          <w:sz w:val="32"/>
          <w:szCs w:val="32"/>
          <w:lang w:eastAsia="zh-CN"/>
        </w:rPr>
      </w:pPr>
      <w:r>
        <w:rPr>
          <w:rFonts w:hint="eastAsia" w:ascii="仿宋" w:hAnsi="仿宋" w:eastAsia="仿宋"/>
          <w:color w:val="auto"/>
          <w:sz w:val="32"/>
          <w:szCs w:val="32"/>
          <w:lang w:eastAsia="zh-CN"/>
        </w:rPr>
        <w:t>情况说明：</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①公务用车</w:t>
      </w:r>
      <w:r>
        <w:rPr>
          <w:rFonts w:hint="eastAsia" w:ascii="仿宋" w:hAnsi="仿宋" w:eastAsia="仿宋"/>
          <w:color w:val="auto"/>
          <w:sz w:val="32"/>
          <w:szCs w:val="32"/>
          <w:lang w:eastAsia="zh-CN"/>
        </w:rPr>
        <w:t>购置及</w:t>
      </w:r>
      <w:r>
        <w:rPr>
          <w:rFonts w:hint="eastAsia" w:ascii="仿宋" w:hAnsi="仿宋" w:eastAsia="仿宋"/>
          <w:color w:val="auto"/>
          <w:sz w:val="32"/>
          <w:szCs w:val="32"/>
        </w:rPr>
        <w:t>运行维护费</w:t>
      </w:r>
      <w:r>
        <w:rPr>
          <w:rFonts w:hint="eastAsia" w:ascii="仿宋" w:hAnsi="仿宋" w:eastAsia="仿宋"/>
          <w:color w:val="auto"/>
          <w:sz w:val="32"/>
          <w:szCs w:val="32"/>
          <w:lang w:val="en-US" w:eastAsia="zh-CN"/>
        </w:rPr>
        <w:t>2.93</w:t>
      </w:r>
      <w:r>
        <w:rPr>
          <w:rFonts w:hint="eastAsia" w:ascii="仿宋" w:hAnsi="仿宋" w:eastAsia="仿宋"/>
          <w:color w:val="auto"/>
          <w:sz w:val="32"/>
          <w:szCs w:val="32"/>
        </w:rPr>
        <w:t>万元，较上年</w:t>
      </w:r>
      <w:r>
        <w:rPr>
          <w:rFonts w:hint="eastAsia" w:ascii="仿宋" w:hAnsi="仿宋" w:eastAsia="仿宋"/>
          <w:color w:val="auto"/>
          <w:sz w:val="32"/>
          <w:szCs w:val="32"/>
          <w:lang w:eastAsia="zh-CN"/>
        </w:rPr>
        <w:t>减少</w:t>
      </w:r>
      <w:r>
        <w:rPr>
          <w:rFonts w:hint="eastAsia" w:ascii="仿宋" w:hAnsi="仿宋" w:eastAsia="仿宋"/>
          <w:color w:val="auto"/>
          <w:sz w:val="32"/>
          <w:szCs w:val="32"/>
          <w:lang w:val="en-US" w:eastAsia="zh-CN"/>
        </w:rPr>
        <w:t>0.46</w:t>
      </w:r>
      <w:r>
        <w:rPr>
          <w:rFonts w:hint="eastAsia" w:ascii="仿宋" w:hAnsi="仿宋" w:eastAsia="仿宋"/>
          <w:color w:val="auto"/>
          <w:sz w:val="32"/>
          <w:szCs w:val="32"/>
        </w:rPr>
        <w:t>万元，同比</w:t>
      </w:r>
      <w:r>
        <w:rPr>
          <w:rFonts w:hint="eastAsia" w:ascii="仿宋" w:hAnsi="仿宋" w:eastAsia="仿宋"/>
          <w:color w:val="auto"/>
          <w:sz w:val="32"/>
          <w:szCs w:val="32"/>
          <w:lang w:eastAsia="zh-CN"/>
        </w:rPr>
        <w:t>下降</w:t>
      </w:r>
      <w:r>
        <w:rPr>
          <w:rFonts w:hint="eastAsia" w:ascii="仿宋" w:hAnsi="仿宋" w:eastAsia="仿宋"/>
          <w:color w:val="auto"/>
          <w:sz w:val="32"/>
          <w:szCs w:val="32"/>
          <w:lang w:val="en-US" w:eastAsia="zh-CN"/>
        </w:rPr>
        <w:t>10.18</w:t>
      </w:r>
      <w:r>
        <w:rPr>
          <w:rFonts w:hint="eastAsia" w:ascii="仿宋" w:hAnsi="仿宋" w:eastAsia="仿宋"/>
          <w:color w:val="auto"/>
          <w:sz w:val="32"/>
          <w:szCs w:val="32"/>
        </w:rPr>
        <w:t>%。</w:t>
      </w:r>
    </w:p>
    <w:p>
      <w:pPr>
        <w:ind w:firstLine="640" w:firstLineChars="200"/>
        <w:rPr>
          <w:rFonts w:hint="eastAsia" w:ascii="仿宋" w:hAnsi="仿宋" w:eastAsia="仿宋"/>
          <w:color w:val="auto"/>
          <w:sz w:val="32"/>
          <w:szCs w:val="32"/>
        </w:rPr>
      </w:pPr>
      <w:r>
        <w:rPr>
          <w:rFonts w:hint="eastAsia" w:ascii="仿宋" w:hAnsi="仿宋" w:eastAsia="仿宋"/>
          <w:color w:val="auto"/>
          <w:sz w:val="32"/>
          <w:szCs w:val="32"/>
        </w:rPr>
        <w:t>公务用车购置费</w:t>
      </w:r>
      <w:r>
        <w:rPr>
          <w:rFonts w:hint="eastAsia" w:ascii="仿宋" w:hAnsi="仿宋" w:eastAsia="仿宋"/>
          <w:color w:val="auto"/>
          <w:sz w:val="32"/>
          <w:szCs w:val="32"/>
          <w:lang w:val="en-US" w:eastAsia="zh-CN"/>
        </w:rPr>
        <w:t>0</w:t>
      </w:r>
      <w:r>
        <w:rPr>
          <w:rFonts w:hint="eastAsia" w:ascii="仿宋" w:hAnsi="仿宋" w:eastAsia="仿宋"/>
          <w:color w:val="auto"/>
          <w:sz w:val="32"/>
          <w:szCs w:val="32"/>
        </w:rPr>
        <w:t>万元，</w:t>
      </w:r>
      <w:r>
        <w:rPr>
          <w:rFonts w:hint="eastAsia" w:ascii="仿宋" w:hAnsi="仿宋" w:eastAsia="仿宋"/>
          <w:color w:val="auto"/>
          <w:sz w:val="32"/>
          <w:szCs w:val="32"/>
          <w:lang w:eastAsia="zh-CN"/>
        </w:rPr>
        <w:t>与上年持平</w:t>
      </w:r>
      <w:r>
        <w:rPr>
          <w:rFonts w:hint="eastAsia" w:ascii="仿宋" w:hAnsi="仿宋" w:eastAsia="仿宋"/>
          <w:color w:val="auto"/>
          <w:sz w:val="32"/>
          <w:szCs w:val="32"/>
        </w:rPr>
        <w:t>。</w:t>
      </w:r>
    </w:p>
    <w:p>
      <w:pPr>
        <w:ind w:firstLine="640" w:firstLineChars="200"/>
        <w:rPr>
          <w:rFonts w:hint="eastAsia" w:ascii="Calibri" w:hAnsi="Calibri" w:eastAsia="仿宋_GB2312" w:cs="Calibri"/>
          <w:color w:val="auto"/>
          <w:sz w:val="32"/>
          <w:szCs w:val="32"/>
        </w:rPr>
      </w:pPr>
      <w:r>
        <w:rPr>
          <w:rFonts w:hint="eastAsia" w:ascii="仿宋_GB2312" w:eastAsia="仿宋_GB2312"/>
          <w:color w:val="auto"/>
          <w:sz w:val="32"/>
          <w:szCs w:val="32"/>
        </w:rPr>
        <w:t>公务用车运行维护费</w:t>
      </w:r>
      <w:r>
        <w:rPr>
          <w:rFonts w:hint="eastAsia" w:ascii="仿宋_GB2312" w:eastAsia="仿宋_GB2312"/>
          <w:color w:val="auto"/>
          <w:sz w:val="32"/>
          <w:szCs w:val="32"/>
          <w:lang w:val="en-US" w:eastAsia="zh-CN"/>
        </w:rPr>
        <w:t>2.93</w:t>
      </w:r>
      <w:r>
        <w:rPr>
          <w:rFonts w:hint="eastAsia" w:ascii="仿宋_GB2312" w:eastAsia="仿宋_GB2312"/>
          <w:color w:val="auto"/>
          <w:sz w:val="32"/>
          <w:szCs w:val="32"/>
        </w:rPr>
        <w:t>万元，较上年减少</w:t>
      </w:r>
      <w:r>
        <w:rPr>
          <w:rFonts w:hint="eastAsia" w:ascii="仿宋_GB2312" w:eastAsia="仿宋_GB2312"/>
          <w:color w:val="auto"/>
          <w:sz w:val="32"/>
          <w:szCs w:val="32"/>
          <w:lang w:val="en-US" w:eastAsia="zh-CN"/>
        </w:rPr>
        <w:t>0.46</w:t>
      </w:r>
      <w:r>
        <w:rPr>
          <w:rFonts w:hint="eastAsia" w:ascii="仿宋_GB2312" w:eastAsia="仿宋_GB2312"/>
          <w:color w:val="auto"/>
          <w:sz w:val="32"/>
          <w:szCs w:val="32"/>
        </w:rPr>
        <w:t>万元，同比下降</w:t>
      </w:r>
      <w:r>
        <w:rPr>
          <w:rFonts w:hint="eastAsia" w:ascii="仿宋_GB2312" w:eastAsia="仿宋_GB2312"/>
          <w:color w:val="auto"/>
          <w:sz w:val="32"/>
          <w:szCs w:val="32"/>
          <w:lang w:val="en-US" w:eastAsia="zh-CN"/>
        </w:rPr>
        <w:t>10.18</w:t>
      </w:r>
      <w:r>
        <w:rPr>
          <w:rFonts w:hint="eastAsia" w:ascii="仿宋_GB2312" w:eastAsia="仿宋_GB2312"/>
          <w:color w:val="auto"/>
          <w:sz w:val="32"/>
          <w:szCs w:val="32"/>
        </w:rPr>
        <w:t>%。主要原因：</w:t>
      </w:r>
      <w:r>
        <w:rPr>
          <w:rFonts w:ascii="Calibri" w:hAnsi="Calibri" w:eastAsia="仿宋_GB2312" w:cs="Calibri"/>
          <w:color w:val="auto"/>
          <w:sz w:val="32"/>
          <w:szCs w:val="32"/>
        </w:rPr>
        <w:t>原有公务车辆陆续报废，车辆运行</w:t>
      </w:r>
      <w:r>
        <w:rPr>
          <w:rFonts w:hint="eastAsia" w:eastAsia="仿宋_GB2312" w:cs="Calibri"/>
          <w:color w:val="auto"/>
          <w:sz w:val="32"/>
          <w:szCs w:val="32"/>
        </w:rPr>
        <w:t>维护</w:t>
      </w:r>
      <w:r>
        <w:rPr>
          <w:rFonts w:ascii="Calibri" w:hAnsi="Calibri" w:eastAsia="仿宋_GB2312" w:cs="Calibri"/>
          <w:color w:val="auto"/>
          <w:sz w:val="32"/>
          <w:szCs w:val="32"/>
        </w:rPr>
        <w:t>费相应减少。</w:t>
      </w:r>
    </w:p>
    <w:p>
      <w:pPr>
        <w:ind w:firstLine="640" w:firstLineChars="200"/>
        <w:rPr>
          <w:rFonts w:hint="eastAsia" w:ascii="仿宋_GB2312" w:eastAsia="仿宋_GB2312"/>
          <w:color w:val="auto"/>
          <w:sz w:val="32"/>
          <w:szCs w:val="32"/>
        </w:rPr>
      </w:pPr>
      <w:r>
        <w:rPr>
          <w:rFonts w:hint="eastAsia" w:ascii="仿宋" w:hAnsi="仿宋" w:eastAsia="仿宋"/>
          <w:color w:val="auto"/>
          <w:sz w:val="32"/>
          <w:szCs w:val="32"/>
        </w:rPr>
        <w:t>②</w:t>
      </w:r>
      <w:r>
        <w:rPr>
          <w:rFonts w:hint="eastAsia" w:ascii="仿宋_GB2312" w:eastAsia="仿宋_GB2312"/>
          <w:color w:val="auto"/>
          <w:sz w:val="32"/>
          <w:szCs w:val="32"/>
          <w:lang w:eastAsia="zh-CN"/>
        </w:rPr>
        <w:t>我单位</w:t>
      </w:r>
      <w:r>
        <w:rPr>
          <w:rFonts w:hint="eastAsia" w:ascii="仿宋_GB2312" w:eastAsia="仿宋_GB2312"/>
          <w:color w:val="auto"/>
          <w:sz w:val="32"/>
          <w:szCs w:val="32"/>
          <w:lang w:val="en-US" w:eastAsia="zh-CN"/>
        </w:rPr>
        <w:t>2020年</w:t>
      </w:r>
      <w:r>
        <w:rPr>
          <w:rFonts w:hint="eastAsia" w:ascii="仿宋_GB2312" w:eastAsia="仿宋_GB2312"/>
          <w:color w:val="auto"/>
          <w:sz w:val="32"/>
          <w:szCs w:val="32"/>
          <w:lang w:eastAsia="zh-CN"/>
        </w:rPr>
        <w:t>无公务接待费</w:t>
      </w:r>
      <w:r>
        <w:rPr>
          <w:rFonts w:hint="eastAsia" w:ascii="仿宋_GB2312" w:eastAsia="仿宋_GB2312"/>
          <w:color w:val="auto"/>
          <w:sz w:val="32"/>
          <w:szCs w:val="32"/>
        </w:rPr>
        <w:t>。</w:t>
      </w:r>
    </w:p>
    <w:p>
      <w:pPr>
        <w:ind w:firstLine="640" w:firstLineChars="200"/>
        <w:rPr>
          <w:rFonts w:ascii="仿宋_GB2312" w:eastAsia="仿宋_GB2312"/>
          <w:color w:val="auto"/>
          <w:sz w:val="32"/>
          <w:szCs w:val="32"/>
        </w:rPr>
      </w:pPr>
      <w:r>
        <w:rPr>
          <w:rFonts w:hint="eastAsia" w:ascii="仿宋" w:hAnsi="仿宋" w:eastAsia="仿宋"/>
          <w:color w:val="auto"/>
          <w:sz w:val="32"/>
          <w:szCs w:val="32"/>
        </w:rPr>
        <w:t>③我单位20</w:t>
      </w:r>
      <w:r>
        <w:rPr>
          <w:rFonts w:hint="eastAsia" w:ascii="仿宋" w:hAnsi="仿宋" w:eastAsia="仿宋"/>
          <w:color w:val="auto"/>
          <w:sz w:val="32"/>
          <w:szCs w:val="32"/>
          <w:lang w:val="en-US" w:eastAsia="zh-CN"/>
        </w:rPr>
        <w:t>20</w:t>
      </w:r>
      <w:r>
        <w:rPr>
          <w:rFonts w:hint="eastAsia" w:ascii="仿宋" w:hAnsi="仿宋" w:eastAsia="仿宋"/>
          <w:color w:val="auto"/>
          <w:sz w:val="32"/>
          <w:szCs w:val="32"/>
        </w:rPr>
        <w:t>年度无因公出国（境）费。</w:t>
      </w:r>
    </w:p>
    <w:p>
      <w:pPr>
        <w:widowControl w:val="0"/>
        <w:numPr>
          <w:ilvl w:val="0"/>
          <w:numId w:val="0"/>
        </w:numPr>
        <w:snapToGrid w:val="0"/>
        <w:spacing w:line="520" w:lineRule="exact"/>
        <w:jc w:val="both"/>
        <w:rPr>
          <w:rFonts w:hint="eastAsia" w:ascii="仿宋_GB2312" w:hAnsi="仿宋" w:eastAsia="仿宋_GB2312"/>
          <w:color w:val="auto"/>
          <w:sz w:val="32"/>
          <w:szCs w:val="32"/>
        </w:rPr>
      </w:pPr>
    </w:p>
    <w:p>
      <w:pPr>
        <w:numPr>
          <w:ilvl w:val="0"/>
          <w:numId w:val="3"/>
        </w:numPr>
        <w:snapToGrid w:val="0"/>
        <w:spacing w:line="520" w:lineRule="exact"/>
        <w:ind w:left="-10" w:leftChars="0" w:firstLine="64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会议费支出情况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年度会议费决算支出</w:t>
      </w:r>
      <w:r>
        <w:rPr>
          <w:rFonts w:hint="eastAsia" w:ascii="仿宋_GB2312" w:hAnsi="仿宋" w:eastAsia="仿宋_GB2312"/>
          <w:color w:val="auto"/>
          <w:sz w:val="32"/>
          <w:szCs w:val="32"/>
          <w:lang w:val="en-US" w:eastAsia="zh-CN"/>
        </w:rPr>
        <w:t>0.25</w:t>
      </w:r>
      <w:r>
        <w:rPr>
          <w:rFonts w:hint="eastAsia" w:ascii="仿宋_GB2312" w:hAnsi="仿宋" w:eastAsia="仿宋_GB2312"/>
          <w:color w:val="auto"/>
          <w:sz w:val="32"/>
          <w:szCs w:val="32"/>
        </w:rPr>
        <w:t>万元，与上年</w:t>
      </w:r>
      <w:r>
        <w:rPr>
          <w:rFonts w:hint="eastAsia" w:ascii="仿宋_GB2312" w:hAnsi="仿宋" w:eastAsia="仿宋_GB2312"/>
          <w:color w:val="auto"/>
          <w:sz w:val="32"/>
          <w:szCs w:val="32"/>
          <w:lang w:eastAsia="zh-CN"/>
        </w:rPr>
        <w:t>相比减少</w:t>
      </w:r>
      <w:r>
        <w:rPr>
          <w:rFonts w:hint="eastAsia" w:ascii="仿宋_GB2312" w:hAnsi="仿宋" w:eastAsia="仿宋_GB2312"/>
          <w:color w:val="auto"/>
          <w:sz w:val="32"/>
          <w:szCs w:val="32"/>
          <w:lang w:val="en-US" w:eastAsia="zh-CN"/>
        </w:rPr>
        <w:t>0.23万元，同比减少47.92%</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原因：疫情期间外出参会人数减少。</w:t>
      </w:r>
    </w:p>
    <w:p>
      <w:pPr>
        <w:widowControl w:val="0"/>
        <w:numPr>
          <w:ilvl w:val="0"/>
          <w:numId w:val="0"/>
        </w:numPr>
        <w:snapToGrid w:val="0"/>
        <w:spacing w:line="520" w:lineRule="exact"/>
        <w:jc w:val="both"/>
        <w:rPr>
          <w:rFonts w:hint="eastAsia" w:ascii="仿宋_GB2312" w:hAnsi="仿宋" w:eastAsia="仿宋_GB2312"/>
          <w:color w:val="auto"/>
          <w:sz w:val="32"/>
          <w:szCs w:val="32"/>
        </w:rPr>
      </w:pPr>
    </w:p>
    <w:p>
      <w:pPr>
        <w:numPr>
          <w:ilvl w:val="0"/>
          <w:numId w:val="3"/>
        </w:numPr>
        <w:snapToGrid w:val="0"/>
        <w:spacing w:line="520" w:lineRule="exact"/>
        <w:ind w:left="-10" w:leftChars="0" w:firstLine="64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培训费支出情况</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年度培训费决算支出</w:t>
      </w:r>
      <w:r>
        <w:rPr>
          <w:rFonts w:hint="eastAsia" w:ascii="仿宋_GB2312" w:hAnsi="仿宋" w:eastAsia="仿宋_GB2312"/>
          <w:color w:val="auto"/>
          <w:sz w:val="32"/>
          <w:szCs w:val="32"/>
          <w:lang w:val="en-US" w:eastAsia="zh-CN"/>
        </w:rPr>
        <w:t>0.075</w:t>
      </w:r>
      <w:r>
        <w:rPr>
          <w:rFonts w:hint="eastAsia" w:ascii="仿宋_GB2312" w:hAnsi="仿宋" w:eastAsia="仿宋_GB2312"/>
          <w:color w:val="auto"/>
          <w:sz w:val="32"/>
          <w:szCs w:val="32"/>
        </w:rPr>
        <w:t>万元，与上年相比</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1.25</w:t>
      </w:r>
      <w:r>
        <w:rPr>
          <w:rFonts w:hint="eastAsia" w:ascii="仿宋_GB2312" w:hAnsi="仿宋" w:eastAsia="仿宋_GB2312"/>
          <w:color w:val="auto"/>
          <w:sz w:val="32"/>
          <w:szCs w:val="32"/>
        </w:rPr>
        <w:t>万元，同比</w:t>
      </w:r>
      <w:r>
        <w:rPr>
          <w:rFonts w:hint="eastAsia" w:ascii="仿宋_GB2312" w:hAnsi="仿宋" w:eastAsia="仿宋_GB2312"/>
          <w:color w:val="auto"/>
          <w:sz w:val="32"/>
          <w:szCs w:val="32"/>
          <w:lang w:eastAsia="zh-CN"/>
        </w:rPr>
        <w:t>下降</w:t>
      </w:r>
      <w:r>
        <w:rPr>
          <w:rFonts w:hint="eastAsia" w:ascii="仿宋_GB2312" w:hAnsi="仿宋" w:eastAsia="仿宋_GB2312"/>
          <w:color w:val="auto"/>
          <w:sz w:val="32"/>
          <w:szCs w:val="32"/>
          <w:lang w:val="en-US" w:eastAsia="zh-CN"/>
        </w:rPr>
        <w:t>99.4</w:t>
      </w:r>
      <w:r>
        <w:rPr>
          <w:rFonts w:hint="eastAsia" w:ascii="仿宋_GB2312" w:hAnsi="仿宋" w:eastAsia="仿宋_GB2312"/>
          <w:color w:val="auto"/>
          <w:sz w:val="32"/>
          <w:szCs w:val="32"/>
        </w:rPr>
        <w:t>%。</w:t>
      </w:r>
    </w:p>
    <w:p>
      <w:pPr>
        <w:numPr>
          <w:ilvl w:val="0"/>
          <w:numId w:val="0"/>
        </w:numPr>
        <w:snapToGrid w:val="0"/>
        <w:spacing w:line="520" w:lineRule="exact"/>
        <w:rPr>
          <w:rFonts w:hint="eastAsia" w:ascii="仿宋_GB2312" w:hAnsi="仿宋" w:eastAsia="仿宋_GB2312"/>
          <w:color w:val="auto"/>
          <w:sz w:val="32"/>
          <w:szCs w:val="32"/>
        </w:rPr>
      </w:pPr>
    </w:p>
    <w:p>
      <w:pPr>
        <w:numPr>
          <w:ilvl w:val="0"/>
          <w:numId w:val="3"/>
        </w:numPr>
        <w:snapToGrid w:val="0"/>
        <w:spacing w:line="520" w:lineRule="exact"/>
        <w:ind w:left="-10" w:leftChars="0" w:firstLine="64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其他对单位影响较大的支出情况。</w:t>
      </w:r>
    </w:p>
    <w:p>
      <w:pPr>
        <w:numPr>
          <w:ilvl w:val="0"/>
          <w:numId w:val="0"/>
        </w:numPr>
        <w:snapToGrid w:val="0"/>
        <w:spacing w:line="520" w:lineRule="exact"/>
        <w:ind w:left="630" w:leftChars="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eastAsia="zh-CN"/>
        </w:rPr>
        <w:t>无</w:t>
      </w:r>
    </w:p>
    <w:p>
      <w:pPr>
        <w:numPr>
          <w:ilvl w:val="0"/>
          <w:numId w:val="3"/>
        </w:numPr>
        <w:snapToGrid w:val="0"/>
        <w:spacing w:line="520" w:lineRule="exact"/>
        <w:ind w:left="-10" w:leftChars="0" w:firstLine="640" w:firstLineChars="0"/>
        <w:rPr>
          <w:rFonts w:hint="eastAsia" w:ascii="仿宋_GB2312" w:hAnsi="仿宋" w:eastAsia="仿宋_GB2312"/>
          <w:color w:val="auto"/>
          <w:sz w:val="32"/>
          <w:szCs w:val="32"/>
        </w:rPr>
      </w:pPr>
      <w:r>
        <w:rPr>
          <w:rFonts w:hint="eastAsia" w:ascii="仿宋_GB2312" w:hAnsi="仿宋" w:eastAsia="仿宋_GB2312"/>
          <w:color w:val="auto"/>
          <w:sz w:val="32"/>
          <w:szCs w:val="32"/>
        </w:rPr>
        <w:t>重点经济分类支出中存在的问题</w:t>
      </w:r>
      <w:r>
        <w:rPr>
          <w:rFonts w:hint="eastAsia" w:ascii="仿宋_GB2312" w:hAnsi="仿宋" w:eastAsia="仿宋_GB2312"/>
          <w:color w:val="auto"/>
          <w:sz w:val="32"/>
          <w:szCs w:val="32"/>
          <w:lang w:eastAsia="zh-CN"/>
        </w:rPr>
        <w:t>说明</w:t>
      </w:r>
    </w:p>
    <w:p>
      <w:pPr>
        <w:snapToGrid w:val="0"/>
        <w:spacing w:line="520" w:lineRule="exact"/>
        <w:ind w:firstLine="640" w:firstLineChars="200"/>
        <w:rPr>
          <w:rFonts w:hint="eastAsia" w:ascii="仿宋_GB2312" w:hAnsi="仿宋" w:eastAsia="仿宋_GB2312"/>
          <w:b/>
          <w:color w:val="auto"/>
          <w:sz w:val="32"/>
          <w:szCs w:val="32"/>
          <w:lang w:eastAsia="zh-CN"/>
        </w:rPr>
      </w:pPr>
      <w:r>
        <w:rPr>
          <w:rFonts w:hint="eastAsia" w:ascii="仿宋_GB2312" w:hAnsi="仿宋" w:eastAsia="仿宋_GB2312" w:cs="仿宋"/>
          <w:color w:val="auto"/>
          <w:sz w:val="32"/>
          <w:szCs w:val="32"/>
          <w:lang w:eastAsia="zh-CN"/>
        </w:rPr>
        <w:t>无</w:t>
      </w:r>
    </w:p>
    <w:p>
      <w:pPr>
        <w:snapToGrid w:val="0"/>
        <w:spacing w:line="520" w:lineRule="exact"/>
        <w:ind w:firstLine="643" w:firstLineChars="200"/>
        <w:rPr>
          <w:rFonts w:hint="eastAsia" w:ascii="仿宋_GB2312" w:hAnsi="仿宋" w:eastAsia="仿宋_GB2312"/>
          <w:b/>
          <w:color w:val="auto"/>
          <w:sz w:val="32"/>
          <w:szCs w:val="32"/>
        </w:rPr>
      </w:pPr>
      <w:r>
        <w:rPr>
          <w:rFonts w:hint="eastAsia" w:ascii="仿宋_GB2312" w:hAnsi="仿宋" w:eastAsia="仿宋_GB2312"/>
          <w:b/>
          <w:color w:val="auto"/>
          <w:sz w:val="32"/>
          <w:szCs w:val="32"/>
        </w:rPr>
        <w:t>4.财政拨款收入、支出分析。</w:t>
      </w:r>
    </w:p>
    <w:tbl>
      <w:tblPr>
        <w:tblStyle w:val="8"/>
        <w:tblpPr w:leftFromText="180" w:rightFromText="180" w:vertAnchor="text" w:horzAnchor="page" w:tblpX="2107" w:tblpY="1256"/>
        <w:tblOverlap w:val="never"/>
        <w:tblW w:w="0" w:type="auto"/>
        <w:tblInd w:w="0" w:type="dxa"/>
        <w:tblLayout w:type="fixed"/>
        <w:tblCellMar>
          <w:top w:w="0" w:type="dxa"/>
          <w:left w:w="0" w:type="dxa"/>
          <w:bottom w:w="0" w:type="dxa"/>
          <w:right w:w="0" w:type="dxa"/>
        </w:tblCellMar>
      </w:tblPr>
      <w:tblGrid>
        <w:gridCol w:w="2059"/>
        <w:gridCol w:w="970"/>
        <w:gridCol w:w="1702"/>
        <w:gridCol w:w="1165"/>
        <w:gridCol w:w="1063"/>
        <w:gridCol w:w="981"/>
      </w:tblGrid>
      <w:tr>
        <w:tblPrEx>
          <w:tblCellMar>
            <w:top w:w="0" w:type="dxa"/>
            <w:left w:w="0" w:type="dxa"/>
            <w:bottom w:w="0" w:type="dxa"/>
            <w:right w:w="0" w:type="dxa"/>
          </w:tblCellMar>
        </w:tblPrEx>
        <w:trPr>
          <w:trHeight w:val="90" w:hRule="atLeast"/>
        </w:trPr>
        <w:tc>
          <w:tcPr>
            <w:tcW w:w="7940" w:type="dxa"/>
            <w:gridSpan w:val="6"/>
            <w:tcBorders>
              <w:top w:val="nil"/>
              <w:left w:val="nil"/>
              <w:bottom w:val="nil"/>
              <w:right w:val="nil"/>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90" w:hRule="atLeast"/>
        </w:trPr>
        <w:tc>
          <w:tcPr>
            <w:tcW w:w="7940" w:type="dxa"/>
            <w:gridSpan w:val="6"/>
            <w:tcBorders>
              <w:top w:val="single" w:color="000000" w:sz="8"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本年收入</w:t>
            </w:r>
          </w:p>
        </w:tc>
      </w:tr>
      <w:tr>
        <w:tblPrEx>
          <w:tblCellMar>
            <w:top w:w="0" w:type="dxa"/>
            <w:left w:w="0" w:type="dxa"/>
            <w:bottom w:w="0" w:type="dxa"/>
            <w:right w:w="0" w:type="dxa"/>
          </w:tblCellMar>
        </w:tblPrEx>
        <w:trPr>
          <w:trHeight w:val="90" w:hRule="atLeast"/>
        </w:trPr>
        <w:tc>
          <w:tcPr>
            <w:tcW w:w="302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2867"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一般公共预算</w:t>
            </w:r>
          </w:p>
        </w:tc>
        <w:tc>
          <w:tcPr>
            <w:tcW w:w="20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政府性基金预算</w:t>
            </w:r>
          </w:p>
        </w:tc>
      </w:tr>
      <w:tr>
        <w:tblPrEx>
          <w:tblCellMar>
            <w:top w:w="0" w:type="dxa"/>
            <w:left w:w="0" w:type="dxa"/>
            <w:bottom w:w="0" w:type="dxa"/>
            <w:right w:w="0" w:type="dxa"/>
          </w:tblCellMar>
        </w:tblPrEx>
        <w:trPr>
          <w:trHeight w:val="312" w:hRule="atLeast"/>
        </w:trPr>
        <w:tc>
          <w:tcPr>
            <w:tcW w:w="20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97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170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116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10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98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r>
      <w:tr>
        <w:tblPrEx>
          <w:tblCellMar>
            <w:top w:w="0" w:type="dxa"/>
            <w:left w:w="0" w:type="dxa"/>
            <w:bottom w:w="0" w:type="dxa"/>
            <w:right w:w="0" w:type="dxa"/>
          </w:tblCellMar>
        </w:tblPrEx>
        <w:trPr>
          <w:trHeight w:val="312" w:hRule="atLeast"/>
        </w:trPr>
        <w:tc>
          <w:tcPr>
            <w:tcW w:w="20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312" w:hRule="atLeast"/>
        </w:trPr>
        <w:tc>
          <w:tcPr>
            <w:tcW w:w="20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7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70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16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90" w:hRule="atLeast"/>
        </w:trPr>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3</w:t>
            </w:r>
          </w:p>
        </w:tc>
        <w:tc>
          <w:tcPr>
            <w:tcW w:w="11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5</w:t>
            </w:r>
          </w:p>
        </w:tc>
        <w:tc>
          <w:tcPr>
            <w:tcW w:w="98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6</w:t>
            </w:r>
          </w:p>
        </w:tc>
      </w:tr>
      <w:tr>
        <w:tblPrEx>
          <w:tblCellMar>
            <w:top w:w="0" w:type="dxa"/>
            <w:left w:w="0" w:type="dxa"/>
            <w:bottom w:w="0" w:type="dxa"/>
            <w:right w:w="0" w:type="dxa"/>
          </w:tblCellMar>
        </w:tblPrEx>
        <w:trPr>
          <w:trHeight w:val="90" w:hRule="atLeast"/>
        </w:trPr>
        <w:tc>
          <w:tcPr>
            <w:tcW w:w="20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3340.3</w:t>
            </w:r>
          </w:p>
        </w:tc>
        <w:tc>
          <w:tcPr>
            <w:tcW w:w="9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5.27</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3339.8</w:t>
            </w:r>
          </w:p>
        </w:tc>
        <w:tc>
          <w:tcPr>
            <w:tcW w:w="11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5.28</w:t>
            </w:r>
          </w:p>
        </w:tc>
        <w:tc>
          <w:tcPr>
            <w:tcW w:w="10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9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bl>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分析财政拨款收入、支出总体情况，支出要按照基本支出和项目支出分析具体构成及特点。</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本年财政拨款收入</w:t>
      </w:r>
      <w:r>
        <w:rPr>
          <w:rFonts w:hint="eastAsia" w:ascii="仿宋_GB2312" w:hAnsi="仿宋" w:eastAsia="仿宋_GB2312"/>
          <w:color w:val="auto"/>
          <w:sz w:val="32"/>
          <w:szCs w:val="32"/>
          <w:lang w:val="en-US" w:eastAsia="zh-CN"/>
        </w:rPr>
        <w:t>3339.8</w:t>
      </w:r>
      <w:r>
        <w:rPr>
          <w:rFonts w:hint="eastAsia" w:ascii="仿宋_GB2312" w:hAnsi="仿宋" w:eastAsia="仿宋_GB2312"/>
          <w:color w:val="auto"/>
          <w:sz w:val="32"/>
          <w:szCs w:val="32"/>
        </w:rPr>
        <w:t>万元，比上年增长</w:t>
      </w:r>
      <w:r>
        <w:rPr>
          <w:rFonts w:hint="eastAsia" w:ascii="仿宋_GB2312" w:hAnsi="仿宋" w:eastAsia="仿宋_GB2312"/>
          <w:color w:val="auto"/>
          <w:sz w:val="32"/>
          <w:szCs w:val="32"/>
          <w:lang w:val="en-US" w:eastAsia="zh-CN"/>
        </w:rPr>
        <w:t>5.28</w:t>
      </w:r>
      <w:r>
        <w:rPr>
          <w:rFonts w:hint="eastAsia" w:ascii="仿宋_GB2312" w:hAnsi="仿宋" w:eastAsia="仿宋_GB2312"/>
          <w:color w:val="auto"/>
          <w:sz w:val="32"/>
          <w:szCs w:val="32"/>
        </w:rPr>
        <w:t>%，全部为一般公共预算财政拨款，无政府性基金预算。</w:t>
      </w:r>
    </w:p>
    <w:p>
      <w:pPr>
        <w:snapToGrid w:val="0"/>
        <w:spacing w:line="520" w:lineRule="exact"/>
        <w:ind w:firstLine="640" w:firstLineChars="200"/>
        <w:rPr>
          <w:rFonts w:hint="eastAsia" w:ascii="仿宋_GB2312" w:hAnsi="仿宋" w:eastAsia="仿宋_GB2312"/>
          <w:color w:val="auto"/>
          <w:sz w:val="32"/>
          <w:szCs w:val="32"/>
        </w:rPr>
      </w:pPr>
    </w:p>
    <w:tbl>
      <w:tblPr>
        <w:tblStyle w:val="8"/>
        <w:tblpPr w:leftFromText="180" w:rightFromText="180" w:vertAnchor="text" w:horzAnchor="page" w:tblpX="1628" w:tblpY="737"/>
        <w:tblOverlap w:val="never"/>
        <w:tblW w:w="4998" w:type="pct"/>
        <w:tblInd w:w="0" w:type="dxa"/>
        <w:tblLayout w:type="autofit"/>
        <w:tblCellMar>
          <w:top w:w="0" w:type="dxa"/>
          <w:left w:w="0" w:type="dxa"/>
          <w:bottom w:w="0" w:type="dxa"/>
          <w:right w:w="0" w:type="dxa"/>
        </w:tblCellMar>
      </w:tblPr>
      <w:tblGrid>
        <w:gridCol w:w="1123"/>
        <w:gridCol w:w="863"/>
        <w:gridCol w:w="1217"/>
        <w:gridCol w:w="917"/>
        <w:gridCol w:w="1197"/>
        <w:gridCol w:w="1123"/>
        <w:gridCol w:w="968"/>
        <w:gridCol w:w="925"/>
      </w:tblGrid>
      <w:tr>
        <w:tblPrEx>
          <w:tblCellMar>
            <w:top w:w="0" w:type="dxa"/>
            <w:left w:w="0" w:type="dxa"/>
            <w:bottom w:w="0" w:type="dxa"/>
            <w:right w:w="0" w:type="dxa"/>
          </w:tblCellMar>
        </w:tblPrEx>
        <w:trPr>
          <w:trHeight w:val="353" w:hRule="atLeast"/>
        </w:trPr>
        <w:tc>
          <w:tcPr>
            <w:tcW w:w="674" w:type="pct"/>
            <w:tcBorders>
              <w:top w:val="nil"/>
              <w:left w:val="nil"/>
              <w:bottom w:val="nil"/>
              <w:right w:val="nil"/>
            </w:tcBorders>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518" w:type="pct"/>
            <w:tcBorders>
              <w:top w:val="nil"/>
              <w:left w:val="nil"/>
              <w:bottom w:val="nil"/>
              <w:right w:val="nil"/>
            </w:tcBorders>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730" w:type="pct"/>
            <w:tcBorders>
              <w:top w:val="nil"/>
              <w:left w:val="nil"/>
              <w:bottom w:val="nil"/>
              <w:right w:val="nil"/>
            </w:tcBorders>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550" w:type="pct"/>
            <w:tcBorders>
              <w:top w:val="nil"/>
              <w:left w:val="nil"/>
              <w:bottom w:val="nil"/>
              <w:right w:val="nil"/>
            </w:tcBorders>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c>
          <w:tcPr>
            <w:tcW w:w="2526" w:type="pct"/>
            <w:gridSpan w:val="4"/>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607" w:hRule="atLeast"/>
        </w:trPr>
        <w:tc>
          <w:tcPr>
            <w:tcW w:w="5000" w:type="pct"/>
            <w:gridSpan w:val="8"/>
            <w:tcBorders>
              <w:top w:val="single" w:color="000000" w:sz="8"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本年支出</w:t>
            </w:r>
          </w:p>
        </w:tc>
      </w:tr>
      <w:tr>
        <w:tblPrEx>
          <w:tblCellMar>
            <w:top w:w="0" w:type="dxa"/>
            <w:left w:w="0" w:type="dxa"/>
            <w:bottom w:w="0" w:type="dxa"/>
            <w:right w:w="0" w:type="dxa"/>
          </w:tblCellMar>
        </w:tblPrEx>
        <w:trPr>
          <w:trHeight w:val="589" w:hRule="atLeast"/>
        </w:trPr>
        <w:tc>
          <w:tcPr>
            <w:tcW w:w="1192"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合计</w:t>
            </w:r>
          </w:p>
        </w:tc>
        <w:tc>
          <w:tcPr>
            <w:tcW w:w="3807" w:type="pct"/>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按预算分类</w:t>
            </w:r>
          </w:p>
        </w:tc>
      </w:tr>
      <w:tr>
        <w:tblPrEx>
          <w:tblCellMar>
            <w:top w:w="0" w:type="dxa"/>
            <w:left w:w="0" w:type="dxa"/>
            <w:bottom w:w="0" w:type="dxa"/>
            <w:right w:w="0" w:type="dxa"/>
          </w:tblCellMar>
        </w:tblPrEx>
        <w:trPr>
          <w:trHeight w:val="843" w:hRule="atLeast"/>
        </w:trPr>
        <w:tc>
          <w:tcPr>
            <w:tcW w:w="674"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18"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2672" w:type="pct"/>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一般公共预算</w:t>
            </w:r>
          </w:p>
        </w:tc>
        <w:tc>
          <w:tcPr>
            <w:tcW w:w="113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政府性基金预算</w:t>
            </w:r>
          </w:p>
        </w:tc>
      </w:tr>
      <w:tr>
        <w:tblPrEx>
          <w:tblCellMar>
            <w:top w:w="0" w:type="dxa"/>
            <w:left w:w="0" w:type="dxa"/>
            <w:bottom w:w="0" w:type="dxa"/>
            <w:right w:w="0" w:type="dxa"/>
          </w:tblCellMar>
        </w:tblPrEx>
        <w:trPr>
          <w:trHeight w:val="843"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3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50"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1391"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其中:机关运行经费</w:t>
            </w:r>
          </w:p>
        </w:tc>
        <w:tc>
          <w:tcPr>
            <w:tcW w:w="581"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553" w:type="pct"/>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r>
      <w:tr>
        <w:tblPrEx>
          <w:tblCellMar>
            <w:top w:w="0" w:type="dxa"/>
            <w:left w:w="0" w:type="dxa"/>
            <w:bottom w:w="0" w:type="dxa"/>
            <w:right w:w="0" w:type="dxa"/>
          </w:tblCellMar>
        </w:tblPrEx>
        <w:trPr>
          <w:trHeight w:val="1004" w:hRule="atLeast"/>
        </w:trPr>
        <w:tc>
          <w:tcPr>
            <w:tcW w:w="674"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18"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3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581"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3" w:type="pct"/>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90" w:hRule="atLeast"/>
        </w:trPr>
        <w:tc>
          <w:tcPr>
            <w:tcW w:w="6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7</w:t>
            </w:r>
          </w:p>
        </w:tc>
        <w:tc>
          <w:tcPr>
            <w:tcW w:w="5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8</w:t>
            </w:r>
          </w:p>
        </w:tc>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9</w:t>
            </w:r>
          </w:p>
        </w:tc>
        <w:tc>
          <w:tcPr>
            <w:tcW w:w="55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10</w:t>
            </w:r>
          </w:p>
        </w:tc>
        <w:tc>
          <w:tcPr>
            <w:tcW w:w="71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11</w:t>
            </w:r>
          </w:p>
        </w:tc>
        <w:tc>
          <w:tcPr>
            <w:tcW w:w="67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12</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13</w:t>
            </w:r>
          </w:p>
        </w:tc>
        <w:tc>
          <w:tcPr>
            <w:tcW w:w="553"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14</w:t>
            </w:r>
          </w:p>
        </w:tc>
      </w:tr>
      <w:tr>
        <w:tblPrEx>
          <w:tblCellMar>
            <w:top w:w="0" w:type="dxa"/>
            <w:left w:w="0" w:type="dxa"/>
            <w:bottom w:w="0" w:type="dxa"/>
            <w:right w:w="0" w:type="dxa"/>
          </w:tblCellMar>
        </w:tblPrEx>
        <w:trPr>
          <w:trHeight w:val="426" w:hRule="atLeast"/>
        </w:trPr>
        <w:tc>
          <w:tcPr>
            <w:tcW w:w="67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3355.11</w:t>
            </w:r>
            <w:r>
              <w:rPr>
                <w:rFonts w:hint="eastAsia" w:ascii="宋体" w:hAnsi="宋体" w:eastAsia="宋体" w:cs="宋体"/>
                <w:i w:val="0"/>
                <w:color w:val="auto"/>
                <w:kern w:val="0"/>
                <w:sz w:val="20"/>
                <w:szCs w:val="20"/>
                <w:u w:val="none"/>
                <w:lang w:val="en-US" w:eastAsia="zh-CN" w:bidi="ar"/>
              </w:rPr>
              <w:t xml:space="preserve"> </w:t>
            </w:r>
          </w:p>
        </w:tc>
        <w:tc>
          <w:tcPr>
            <w:tcW w:w="5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5.06</w:t>
            </w:r>
          </w:p>
        </w:tc>
        <w:tc>
          <w:tcPr>
            <w:tcW w:w="730"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color w:val="auto"/>
                <w:kern w:val="0"/>
                <w:sz w:val="20"/>
                <w:szCs w:val="20"/>
                <w:u w:val="none"/>
                <w:lang w:val="en-US" w:eastAsia="zh-CN" w:bidi="ar"/>
              </w:rPr>
              <w:t>3354.97</w:t>
            </w:r>
          </w:p>
        </w:tc>
        <w:tc>
          <w:tcPr>
            <w:tcW w:w="550"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5.07</w:t>
            </w:r>
          </w:p>
        </w:tc>
        <w:tc>
          <w:tcPr>
            <w:tcW w:w="718"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0</w:t>
            </w:r>
            <w:r>
              <w:rPr>
                <w:rFonts w:hint="eastAsia" w:ascii="宋体" w:hAnsi="宋体" w:eastAsia="宋体" w:cs="宋体"/>
                <w:i w:val="0"/>
                <w:color w:val="auto"/>
                <w:kern w:val="0"/>
                <w:sz w:val="20"/>
                <w:szCs w:val="20"/>
                <w:u w:val="none"/>
                <w:lang w:val="en-US" w:eastAsia="zh-CN" w:bidi="ar"/>
              </w:rPr>
              <w:t xml:space="preserve"> </w:t>
            </w:r>
          </w:p>
        </w:tc>
        <w:tc>
          <w:tcPr>
            <w:tcW w:w="67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-100</w:t>
            </w:r>
            <w:r>
              <w:rPr>
                <w:rFonts w:hint="eastAsia" w:ascii="宋体" w:hAnsi="宋体" w:eastAsia="宋体" w:cs="宋体"/>
                <w:i w:val="0"/>
                <w:color w:val="auto"/>
                <w:kern w:val="0"/>
                <w:sz w:val="20"/>
                <w:szCs w:val="20"/>
                <w:u w:val="none"/>
                <w:lang w:val="en-US" w:eastAsia="zh-CN" w:bidi="ar"/>
              </w:rPr>
              <w:t xml:space="preserve"> </w:t>
            </w:r>
          </w:p>
        </w:tc>
        <w:tc>
          <w:tcPr>
            <w:tcW w:w="581"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553" w:type="pc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right"/>
              <w:rPr>
                <w:rFonts w:hint="eastAsia" w:ascii="宋体" w:hAnsi="宋体" w:eastAsia="宋体" w:cs="宋体"/>
                <w:i w:val="0"/>
                <w:color w:val="auto"/>
                <w:sz w:val="20"/>
                <w:szCs w:val="20"/>
                <w:u w:val="none"/>
              </w:rPr>
            </w:pP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本年财政拨款支出</w:t>
      </w:r>
      <w:r>
        <w:rPr>
          <w:rFonts w:hint="eastAsia" w:ascii="仿宋_GB2312" w:hAnsi="仿宋" w:eastAsia="仿宋_GB2312"/>
          <w:color w:val="auto"/>
          <w:sz w:val="32"/>
          <w:szCs w:val="32"/>
          <w:lang w:val="en-US" w:eastAsia="zh-CN"/>
        </w:rPr>
        <w:t>3354.97</w:t>
      </w:r>
      <w:r>
        <w:rPr>
          <w:rFonts w:hint="eastAsia" w:ascii="仿宋_GB2312" w:hAnsi="仿宋" w:eastAsia="仿宋_GB2312"/>
          <w:color w:val="auto"/>
          <w:sz w:val="32"/>
          <w:szCs w:val="32"/>
        </w:rPr>
        <w:t>万元，比上年增长</w:t>
      </w:r>
      <w:r>
        <w:rPr>
          <w:rFonts w:hint="eastAsia" w:ascii="仿宋_GB2312" w:hAnsi="仿宋" w:eastAsia="仿宋_GB2312"/>
          <w:color w:val="auto"/>
          <w:sz w:val="32"/>
          <w:szCs w:val="32"/>
          <w:lang w:val="en-US" w:eastAsia="zh-CN"/>
        </w:rPr>
        <w:t>5.06</w:t>
      </w:r>
      <w:r>
        <w:rPr>
          <w:rFonts w:hint="eastAsia" w:ascii="仿宋_GB2312" w:hAnsi="仿宋" w:eastAsia="仿宋_GB2312"/>
          <w:color w:val="auto"/>
          <w:sz w:val="32"/>
          <w:szCs w:val="32"/>
        </w:rPr>
        <w:t>%。按预算分类：一般公共预算支出</w:t>
      </w:r>
      <w:r>
        <w:rPr>
          <w:rFonts w:hint="eastAsia" w:ascii="仿宋_GB2312" w:hAnsi="仿宋" w:eastAsia="仿宋_GB2312"/>
          <w:color w:val="auto"/>
          <w:sz w:val="32"/>
          <w:szCs w:val="32"/>
          <w:lang w:val="en-US" w:eastAsia="zh-CN"/>
        </w:rPr>
        <w:t>3354.97</w:t>
      </w:r>
      <w:r>
        <w:rPr>
          <w:rFonts w:hint="eastAsia" w:ascii="仿宋_GB2312" w:hAnsi="仿宋" w:eastAsia="仿宋_GB2312"/>
          <w:color w:val="auto"/>
          <w:sz w:val="32"/>
          <w:szCs w:val="32"/>
        </w:rPr>
        <w:t>万元，比上年增长</w:t>
      </w:r>
      <w:r>
        <w:rPr>
          <w:rFonts w:hint="eastAsia" w:ascii="仿宋_GB2312" w:hAnsi="仿宋" w:eastAsia="仿宋_GB2312"/>
          <w:color w:val="auto"/>
          <w:sz w:val="32"/>
          <w:szCs w:val="32"/>
          <w:lang w:val="en-US" w:eastAsia="zh-CN"/>
        </w:rPr>
        <w:t>5.07</w:t>
      </w:r>
      <w:r>
        <w:rPr>
          <w:rFonts w:hint="eastAsia" w:ascii="仿宋_GB2312" w:hAnsi="仿宋" w:eastAsia="仿宋_GB2312"/>
          <w:color w:val="auto"/>
          <w:sz w:val="32"/>
          <w:szCs w:val="32"/>
        </w:rPr>
        <w:t>%，无政府性基金预算。</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p>
    <w:tbl>
      <w:tblPr>
        <w:tblStyle w:val="8"/>
        <w:tblpPr w:leftFromText="180" w:rightFromText="180" w:vertAnchor="text" w:horzAnchor="page" w:tblpX="4932" w:tblpY="138"/>
        <w:tblOverlap w:val="never"/>
        <w:tblW w:w="0" w:type="auto"/>
        <w:tblInd w:w="0" w:type="dxa"/>
        <w:tblLayout w:type="fixed"/>
        <w:tblCellMar>
          <w:top w:w="0" w:type="dxa"/>
          <w:left w:w="0" w:type="dxa"/>
          <w:bottom w:w="0" w:type="dxa"/>
          <w:right w:w="0" w:type="dxa"/>
        </w:tblCellMar>
      </w:tblPr>
      <w:tblGrid>
        <w:gridCol w:w="1215"/>
        <w:gridCol w:w="1275"/>
        <w:gridCol w:w="1290"/>
        <w:gridCol w:w="1315"/>
      </w:tblGrid>
      <w:tr>
        <w:tblPrEx>
          <w:tblCellMar>
            <w:top w:w="0" w:type="dxa"/>
            <w:left w:w="0" w:type="dxa"/>
            <w:bottom w:w="0" w:type="dxa"/>
            <w:right w:w="0" w:type="dxa"/>
          </w:tblCellMar>
        </w:tblPrEx>
        <w:trPr>
          <w:trHeight w:val="317" w:hRule="atLeast"/>
        </w:trPr>
        <w:tc>
          <w:tcPr>
            <w:tcW w:w="5095" w:type="dxa"/>
            <w:gridSpan w:val="4"/>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本年支出（按支出性质）</w:t>
            </w:r>
          </w:p>
        </w:tc>
      </w:tr>
      <w:tr>
        <w:tblPrEx>
          <w:tblCellMar>
            <w:top w:w="0" w:type="dxa"/>
            <w:left w:w="0" w:type="dxa"/>
            <w:bottom w:w="0" w:type="dxa"/>
            <w:right w:w="0" w:type="dxa"/>
          </w:tblCellMar>
        </w:tblPrEx>
        <w:trPr>
          <w:trHeight w:val="445" w:hRule="atLeast"/>
        </w:trPr>
        <w:tc>
          <w:tcPr>
            <w:tcW w:w="5095" w:type="dxa"/>
            <w:gridSpan w:val="4"/>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410" w:hRule="atLeast"/>
        </w:trPr>
        <w:tc>
          <w:tcPr>
            <w:tcW w:w="24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基本支出</w:t>
            </w:r>
          </w:p>
        </w:tc>
        <w:tc>
          <w:tcPr>
            <w:tcW w:w="2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项目支出</w:t>
            </w:r>
          </w:p>
        </w:tc>
      </w:tr>
      <w:tr>
        <w:tblPrEx>
          <w:tblCellMar>
            <w:top w:w="0" w:type="dxa"/>
            <w:left w:w="0" w:type="dxa"/>
            <w:bottom w:w="0" w:type="dxa"/>
            <w:right w:w="0" w:type="dxa"/>
          </w:tblCellMar>
        </w:tblPrEx>
        <w:trPr>
          <w:trHeight w:val="765" w:hRule="atLeast"/>
        </w:trPr>
        <w:tc>
          <w:tcPr>
            <w:tcW w:w="12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12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c>
          <w:tcPr>
            <w:tcW w:w="12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w:t>
            </w:r>
          </w:p>
        </w:tc>
        <w:tc>
          <w:tcPr>
            <w:tcW w:w="13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比上年增减%</w:t>
            </w:r>
          </w:p>
        </w:tc>
      </w:tr>
      <w:tr>
        <w:tblPrEx>
          <w:tblCellMar>
            <w:top w:w="0" w:type="dxa"/>
            <w:left w:w="0" w:type="dxa"/>
            <w:bottom w:w="0" w:type="dxa"/>
            <w:right w:w="0" w:type="dxa"/>
          </w:tblCellMar>
        </w:tblPrEx>
        <w:trPr>
          <w:trHeight w:val="312" w:hRule="atLeast"/>
        </w:trPr>
        <w:tc>
          <w:tcPr>
            <w:tcW w:w="12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3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77" w:hRule="atLeast"/>
        </w:trPr>
        <w:tc>
          <w:tcPr>
            <w:tcW w:w="12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2251.4</w:t>
            </w:r>
            <w:r>
              <w:rPr>
                <w:rFonts w:hint="eastAsia" w:ascii="宋体" w:hAnsi="宋体" w:eastAsia="宋体" w:cs="宋体"/>
                <w:i w:val="0"/>
                <w:color w:val="auto"/>
                <w:kern w:val="0"/>
                <w:sz w:val="20"/>
                <w:szCs w:val="20"/>
                <w:u w:val="none"/>
                <w:lang w:val="en-US" w:eastAsia="zh-CN" w:bidi="ar"/>
              </w:rPr>
              <w:t xml:space="preserve"> </w:t>
            </w:r>
          </w:p>
        </w:tc>
        <w:tc>
          <w:tcPr>
            <w:tcW w:w="12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10.6</w:t>
            </w:r>
          </w:p>
        </w:tc>
        <w:tc>
          <w:tcPr>
            <w:tcW w:w="12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1103.71</w:t>
            </w:r>
          </w:p>
        </w:tc>
        <w:tc>
          <w:tcPr>
            <w:tcW w:w="13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0"/>
                <w:szCs w:val="20"/>
                <w:u w:val="none"/>
                <w:lang w:val="en-US"/>
              </w:rPr>
            </w:pPr>
            <w:r>
              <w:rPr>
                <w:rFonts w:hint="eastAsia" w:ascii="宋体" w:hAnsi="宋体" w:cs="宋体"/>
                <w:i w:val="0"/>
                <w:color w:val="auto"/>
                <w:kern w:val="0"/>
                <w:sz w:val="20"/>
                <w:szCs w:val="20"/>
                <w:u w:val="none"/>
                <w:lang w:val="en-US" w:eastAsia="zh-CN" w:bidi="ar"/>
              </w:rPr>
              <w:t>-4.69</w:t>
            </w:r>
          </w:p>
        </w:tc>
      </w:tr>
    </w:tbl>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按支出性质分类：基本支出</w:t>
      </w:r>
      <w:r>
        <w:rPr>
          <w:rFonts w:hint="eastAsia" w:ascii="仿宋_GB2312" w:hAnsi="仿宋" w:eastAsia="仿宋_GB2312"/>
          <w:color w:val="auto"/>
          <w:sz w:val="32"/>
          <w:szCs w:val="32"/>
          <w:lang w:val="en-US" w:eastAsia="zh-CN"/>
        </w:rPr>
        <w:t>2251.4</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增加</w:t>
      </w:r>
      <w:r>
        <w:rPr>
          <w:rFonts w:hint="eastAsia" w:ascii="仿宋_GB2312" w:hAnsi="仿宋" w:eastAsia="仿宋_GB2312"/>
          <w:color w:val="auto"/>
          <w:sz w:val="32"/>
          <w:szCs w:val="32"/>
          <w:lang w:val="en-US" w:eastAsia="zh-CN"/>
        </w:rPr>
        <w:t>10.6</w:t>
      </w:r>
      <w:r>
        <w:rPr>
          <w:rFonts w:hint="eastAsia" w:ascii="仿宋_GB2312" w:hAnsi="仿宋" w:eastAsia="仿宋_GB2312"/>
          <w:color w:val="auto"/>
          <w:sz w:val="32"/>
          <w:szCs w:val="32"/>
        </w:rPr>
        <w:t>%；项目支出</w:t>
      </w:r>
      <w:r>
        <w:rPr>
          <w:rFonts w:hint="eastAsia" w:ascii="仿宋_GB2312" w:hAnsi="仿宋" w:eastAsia="仿宋_GB2312"/>
          <w:color w:val="auto"/>
          <w:sz w:val="32"/>
          <w:szCs w:val="32"/>
          <w:lang w:val="en-US" w:eastAsia="zh-CN"/>
        </w:rPr>
        <w:t>1103.71</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4.69</w:t>
      </w:r>
      <w:r>
        <w:rPr>
          <w:rFonts w:hint="eastAsia" w:ascii="仿宋_GB2312" w:hAnsi="仿宋" w:eastAsia="仿宋_GB2312"/>
          <w:color w:val="auto"/>
          <w:sz w:val="32"/>
          <w:szCs w:val="32"/>
        </w:rPr>
        <w:t>%。</w:t>
      </w:r>
    </w:p>
    <w:p>
      <w:pPr>
        <w:snapToGrid w:val="0"/>
        <w:spacing w:line="520" w:lineRule="exact"/>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按支出经济分类：工资福利支出</w:t>
      </w:r>
      <w:r>
        <w:rPr>
          <w:rFonts w:hint="eastAsia" w:ascii="仿宋_GB2312" w:hAnsi="仿宋" w:eastAsia="仿宋_GB2312"/>
          <w:color w:val="auto"/>
          <w:sz w:val="32"/>
          <w:szCs w:val="32"/>
          <w:lang w:val="en-US" w:eastAsia="zh-CN"/>
        </w:rPr>
        <w:t>2673.72</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上升</w:t>
      </w:r>
      <w:r>
        <w:rPr>
          <w:rFonts w:hint="eastAsia" w:ascii="仿宋_GB2312" w:hAnsi="仿宋" w:eastAsia="仿宋_GB2312"/>
          <w:color w:val="auto"/>
          <w:sz w:val="32"/>
          <w:szCs w:val="32"/>
          <w:lang w:val="en-US" w:eastAsia="zh-CN"/>
        </w:rPr>
        <w:t>8.38</w:t>
      </w:r>
      <w:r>
        <w:rPr>
          <w:rFonts w:hint="eastAsia" w:ascii="仿宋_GB2312" w:hAnsi="仿宋" w:eastAsia="仿宋_GB2312"/>
          <w:color w:val="auto"/>
          <w:sz w:val="32"/>
          <w:szCs w:val="32"/>
        </w:rPr>
        <w:t>%；商品和服务支出</w:t>
      </w:r>
      <w:r>
        <w:rPr>
          <w:rFonts w:hint="eastAsia" w:ascii="仿宋_GB2312" w:hAnsi="仿宋" w:eastAsia="仿宋_GB2312"/>
          <w:color w:val="auto"/>
          <w:sz w:val="32"/>
          <w:szCs w:val="32"/>
          <w:lang w:val="en-US" w:eastAsia="zh-CN"/>
        </w:rPr>
        <w:t>558.6</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下降</w:t>
      </w:r>
      <w:r>
        <w:rPr>
          <w:rFonts w:hint="eastAsia" w:ascii="仿宋_GB2312" w:hAnsi="仿宋" w:eastAsia="仿宋_GB2312"/>
          <w:color w:val="auto"/>
          <w:sz w:val="32"/>
          <w:szCs w:val="32"/>
          <w:lang w:val="en-US" w:eastAsia="zh-CN"/>
        </w:rPr>
        <w:t>2.16</w:t>
      </w:r>
      <w:r>
        <w:rPr>
          <w:rFonts w:hint="eastAsia" w:ascii="仿宋_GB2312" w:hAnsi="仿宋" w:eastAsia="仿宋_GB2312"/>
          <w:color w:val="auto"/>
          <w:sz w:val="32"/>
          <w:szCs w:val="32"/>
        </w:rPr>
        <w:t>%；对个人和家庭的补助支出</w:t>
      </w:r>
      <w:r>
        <w:rPr>
          <w:rFonts w:hint="eastAsia" w:ascii="仿宋_GB2312" w:hAnsi="仿宋" w:eastAsia="仿宋_GB2312"/>
          <w:color w:val="auto"/>
          <w:sz w:val="32"/>
          <w:szCs w:val="32"/>
          <w:lang w:val="en-US" w:eastAsia="zh-CN"/>
        </w:rPr>
        <w:t>4.44</w:t>
      </w:r>
      <w:r>
        <w:rPr>
          <w:rFonts w:hint="eastAsia" w:ascii="仿宋_GB2312" w:hAnsi="仿宋" w:eastAsia="仿宋_GB2312"/>
          <w:color w:val="auto"/>
          <w:sz w:val="32"/>
          <w:szCs w:val="32"/>
        </w:rPr>
        <w:t>万元，比上年下降</w:t>
      </w:r>
      <w:r>
        <w:rPr>
          <w:rFonts w:hint="eastAsia" w:ascii="仿宋_GB2312" w:hAnsi="仿宋" w:eastAsia="仿宋_GB2312"/>
          <w:color w:val="auto"/>
          <w:sz w:val="32"/>
          <w:szCs w:val="32"/>
          <w:lang w:val="en-US" w:eastAsia="zh-CN"/>
        </w:rPr>
        <w:t>55.43</w:t>
      </w:r>
      <w:r>
        <w:rPr>
          <w:rFonts w:hint="eastAsia" w:ascii="仿宋_GB2312" w:hAnsi="仿宋" w:eastAsia="仿宋_GB2312"/>
          <w:color w:val="auto"/>
          <w:sz w:val="32"/>
          <w:szCs w:val="32"/>
        </w:rPr>
        <w:t>%；资本性支出</w:t>
      </w:r>
      <w:r>
        <w:rPr>
          <w:rFonts w:hint="eastAsia" w:ascii="仿宋_GB2312" w:hAnsi="仿宋" w:eastAsia="仿宋_GB2312"/>
          <w:color w:val="auto"/>
          <w:sz w:val="32"/>
          <w:szCs w:val="32"/>
          <w:lang w:val="en-US" w:eastAsia="zh-CN"/>
        </w:rPr>
        <w:t>118.36</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18.81</w:t>
      </w:r>
      <w:r>
        <w:rPr>
          <w:rFonts w:hint="eastAsia" w:ascii="仿宋_GB2312" w:hAnsi="仿宋" w:eastAsia="仿宋_GB2312"/>
          <w:color w:val="auto"/>
          <w:sz w:val="32"/>
          <w:szCs w:val="32"/>
        </w:rPr>
        <w:t>%。</w:t>
      </w:r>
    </w:p>
    <w:tbl>
      <w:tblPr>
        <w:tblStyle w:val="8"/>
        <w:tblpPr w:leftFromText="180" w:rightFromText="180" w:vertAnchor="text" w:horzAnchor="page" w:tblpX="1783" w:tblpY="427"/>
        <w:tblOverlap w:val="never"/>
        <w:tblW w:w="8770" w:type="dxa"/>
        <w:tblInd w:w="0" w:type="dxa"/>
        <w:tblLayout w:type="fixed"/>
        <w:tblCellMar>
          <w:top w:w="0" w:type="dxa"/>
          <w:left w:w="0" w:type="dxa"/>
          <w:bottom w:w="0" w:type="dxa"/>
          <w:right w:w="0" w:type="dxa"/>
        </w:tblCellMar>
      </w:tblPr>
      <w:tblGrid>
        <w:gridCol w:w="1116"/>
        <w:gridCol w:w="708"/>
        <w:gridCol w:w="1020"/>
        <w:gridCol w:w="750"/>
        <w:gridCol w:w="840"/>
        <w:gridCol w:w="828"/>
        <w:gridCol w:w="882"/>
        <w:gridCol w:w="872"/>
        <w:gridCol w:w="1116"/>
        <w:gridCol w:w="638"/>
      </w:tblGrid>
      <w:tr>
        <w:tblPrEx>
          <w:tblCellMar>
            <w:top w:w="0" w:type="dxa"/>
            <w:left w:w="0" w:type="dxa"/>
            <w:bottom w:w="0" w:type="dxa"/>
            <w:right w:w="0" w:type="dxa"/>
          </w:tblCellMar>
        </w:tblPrEx>
        <w:trPr>
          <w:trHeight w:val="402" w:hRule="atLeast"/>
        </w:trPr>
        <w:tc>
          <w:tcPr>
            <w:tcW w:w="8770" w:type="dxa"/>
            <w:gridSpan w:val="10"/>
            <w:tcBorders>
              <w:top w:val="single" w:color="000000" w:sz="8"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按支出经济分类</w:t>
            </w:r>
          </w:p>
        </w:tc>
      </w:tr>
      <w:tr>
        <w:tblPrEx>
          <w:tblCellMar>
            <w:top w:w="0" w:type="dxa"/>
            <w:left w:w="0" w:type="dxa"/>
            <w:bottom w:w="0" w:type="dxa"/>
            <w:right w:w="0" w:type="dxa"/>
          </w:tblCellMar>
        </w:tblPrEx>
        <w:trPr>
          <w:trHeight w:val="525" w:hRule="atLeast"/>
        </w:trPr>
        <w:tc>
          <w:tcPr>
            <w:tcW w:w="182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工资福利支出</w:t>
            </w:r>
          </w:p>
        </w:tc>
        <w:tc>
          <w:tcPr>
            <w:tcW w:w="177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商品和服务支出</w:t>
            </w:r>
          </w:p>
        </w:tc>
        <w:tc>
          <w:tcPr>
            <w:tcW w:w="16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对个人和家庭的补助</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资本性支出</w:t>
            </w:r>
          </w:p>
        </w:tc>
        <w:tc>
          <w:tcPr>
            <w:tcW w:w="17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其他</w:t>
            </w:r>
          </w:p>
        </w:tc>
      </w:tr>
      <w:tr>
        <w:tblPrEx>
          <w:tblCellMar>
            <w:top w:w="0" w:type="dxa"/>
            <w:left w:w="0" w:type="dxa"/>
            <w:bottom w:w="0" w:type="dxa"/>
            <w:right w:w="0" w:type="dxa"/>
          </w:tblCellMar>
        </w:tblPrEx>
        <w:trPr>
          <w:trHeight w:val="765" w:hRule="atLeast"/>
        </w:trPr>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金额</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比上年增减%</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金额</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比上年增减%</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金额</w:t>
            </w: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比上年增减%</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金额</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比上年增减%</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金额</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color w:val="auto"/>
              </w:rPr>
            </w:pPr>
            <w:r>
              <w:rPr>
                <w:rFonts w:hint="eastAsia" w:ascii="宋体" w:hAnsi="宋体" w:eastAsia="宋体" w:cs="宋体"/>
                <w:i w:val="0"/>
                <w:iCs w:val="0"/>
                <w:color w:val="auto"/>
                <w:kern w:val="0"/>
                <w:sz w:val="22"/>
                <w:szCs w:val="22"/>
                <w:u w:val="none"/>
                <w:lang w:val="en-US" w:eastAsia="zh-CN" w:bidi="ar"/>
              </w:rPr>
              <w:t>比上年增减%</w:t>
            </w:r>
          </w:p>
        </w:tc>
      </w:tr>
      <w:tr>
        <w:tblPrEx>
          <w:tblCellMar>
            <w:top w:w="0" w:type="dxa"/>
            <w:left w:w="0" w:type="dxa"/>
            <w:bottom w:w="0" w:type="dxa"/>
            <w:right w:w="0" w:type="dxa"/>
          </w:tblCellMar>
        </w:tblPrEx>
        <w:trPr>
          <w:trHeight w:val="765" w:hRule="atLeast"/>
        </w:trPr>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19</w:t>
            </w:r>
          </w:p>
        </w:tc>
        <w:tc>
          <w:tcPr>
            <w:tcW w:w="7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20</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21</w:t>
            </w:r>
          </w:p>
        </w:tc>
        <w:tc>
          <w:tcPr>
            <w:tcW w:w="7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22</w:t>
            </w:r>
          </w:p>
        </w:tc>
        <w:tc>
          <w:tcPr>
            <w:tcW w:w="8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23</w:t>
            </w:r>
          </w:p>
        </w:tc>
        <w:tc>
          <w:tcPr>
            <w:tcW w:w="82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24</w:t>
            </w:r>
          </w:p>
        </w:tc>
        <w:tc>
          <w:tcPr>
            <w:tcW w:w="88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25</w:t>
            </w:r>
          </w:p>
        </w:tc>
        <w:tc>
          <w:tcPr>
            <w:tcW w:w="87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26</w:t>
            </w:r>
          </w:p>
        </w:tc>
        <w:tc>
          <w:tcPr>
            <w:tcW w:w="11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27</w:t>
            </w:r>
          </w:p>
        </w:tc>
        <w:tc>
          <w:tcPr>
            <w:tcW w:w="638" w:type="dxa"/>
            <w:vMerge w:val="restart"/>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28</w:t>
            </w:r>
          </w:p>
        </w:tc>
      </w:tr>
      <w:tr>
        <w:tblPrEx>
          <w:tblCellMar>
            <w:top w:w="0" w:type="dxa"/>
            <w:left w:w="0" w:type="dxa"/>
            <w:bottom w:w="0" w:type="dxa"/>
            <w:right w:w="0" w:type="dxa"/>
          </w:tblCellMar>
        </w:tblPrEx>
        <w:trPr>
          <w:trHeight w:val="81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0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8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87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c>
          <w:tcPr>
            <w:tcW w:w="0" w:type="auto"/>
            <w:vMerge w:val="continue"/>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CellMar>
            <w:top w:w="0" w:type="dxa"/>
            <w:left w:w="0" w:type="dxa"/>
            <w:bottom w:w="0" w:type="dxa"/>
            <w:right w:w="0" w:type="dxa"/>
          </w:tblCellMar>
        </w:tblPrEx>
        <w:trPr>
          <w:trHeight w:val="402" w:hRule="atLeast"/>
        </w:trPr>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iCs w:val="0"/>
                <w:color w:val="auto"/>
                <w:kern w:val="0"/>
                <w:sz w:val="22"/>
                <w:szCs w:val="22"/>
                <w:u w:val="none"/>
                <w:lang w:val="en-US" w:eastAsia="zh-CN" w:bidi="ar"/>
              </w:rPr>
              <w:t>2,6</w:t>
            </w:r>
            <w:r>
              <w:rPr>
                <w:rFonts w:hint="eastAsia" w:ascii="宋体" w:hAnsi="宋体" w:cs="宋体"/>
                <w:i w:val="0"/>
                <w:iCs w:val="0"/>
                <w:color w:val="auto"/>
                <w:kern w:val="0"/>
                <w:sz w:val="22"/>
                <w:szCs w:val="22"/>
                <w:u w:val="none"/>
                <w:lang w:val="en-US" w:eastAsia="zh-CN" w:bidi="ar"/>
              </w:rPr>
              <w:t>73.72</w:t>
            </w:r>
          </w:p>
        </w:tc>
        <w:tc>
          <w:tcPr>
            <w:tcW w:w="7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8.</w:t>
            </w:r>
            <w:r>
              <w:rPr>
                <w:rFonts w:hint="eastAsia" w:ascii="宋体" w:hAnsi="宋体" w:cs="宋体"/>
                <w:i w:val="0"/>
                <w:iCs w:val="0"/>
                <w:color w:val="auto"/>
                <w:kern w:val="0"/>
                <w:sz w:val="22"/>
                <w:szCs w:val="22"/>
                <w:u w:val="none"/>
                <w:lang w:val="en-US" w:eastAsia="zh-CN" w:bidi="ar"/>
              </w:rPr>
              <w:t>3</w:t>
            </w:r>
            <w:r>
              <w:rPr>
                <w:rFonts w:hint="eastAsia" w:ascii="宋体" w:hAnsi="宋体" w:eastAsia="宋体" w:cs="宋体"/>
                <w:i w:val="0"/>
                <w:iCs w:val="0"/>
                <w:color w:val="auto"/>
                <w:kern w:val="0"/>
                <w:sz w:val="22"/>
                <w:szCs w:val="22"/>
                <w:u w:val="none"/>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iCs w:val="0"/>
                <w:color w:val="auto"/>
                <w:kern w:val="0"/>
                <w:sz w:val="22"/>
                <w:szCs w:val="22"/>
                <w:u w:val="none"/>
                <w:lang w:val="en-US" w:eastAsia="zh-CN" w:bidi="ar"/>
              </w:rPr>
              <w:t>558.6</w:t>
            </w:r>
          </w:p>
        </w:tc>
        <w:tc>
          <w:tcPr>
            <w:tcW w:w="7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2.16</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cs="宋体"/>
                <w:i w:val="0"/>
                <w:iCs w:val="0"/>
                <w:color w:val="auto"/>
                <w:kern w:val="0"/>
                <w:sz w:val="22"/>
                <w:szCs w:val="22"/>
                <w:u w:val="none"/>
                <w:lang w:val="en-US" w:eastAsia="zh-CN" w:bidi="ar"/>
              </w:rPr>
              <w:t>4.44</w:t>
            </w:r>
          </w:p>
        </w:tc>
        <w:tc>
          <w:tcPr>
            <w:tcW w:w="8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20"/>
                <w:szCs w:val="20"/>
                <w:u w:val="none"/>
                <w:lang w:val="en-US"/>
              </w:rPr>
            </w:pPr>
            <w:r>
              <w:rPr>
                <w:rFonts w:hint="eastAsia" w:ascii="宋体" w:hAnsi="宋体" w:eastAsia="宋体" w:cs="宋体"/>
                <w:i w:val="0"/>
                <w:iCs w:val="0"/>
                <w:color w:val="auto"/>
                <w:kern w:val="0"/>
                <w:sz w:val="22"/>
                <w:szCs w:val="22"/>
                <w:u w:val="none"/>
                <w:lang w:val="en-US" w:eastAsia="zh-CN" w:bidi="ar"/>
              </w:rPr>
              <w:t>-</w:t>
            </w:r>
            <w:r>
              <w:rPr>
                <w:rFonts w:hint="eastAsia" w:ascii="宋体" w:hAnsi="宋体" w:cs="宋体"/>
                <w:i w:val="0"/>
                <w:iCs w:val="0"/>
                <w:color w:val="auto"/>
                <w:kern w:val="0"/>
                <w:sz w:val="22"/>
                <w:szCs w:val="22"/>
                <w:u w:val="none"/>
                <w:lang w:val="en-US" w:eastAsia="zh-CN" w:bidi="ar"/>
              </w:rPr>
              <w:t>55.43</w:t>
            </w:r>
          </w:p>
        </w:tc>
        <w:tc>
          <w:tcPr>
            <w:tcW w:w="88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118.36</w:t>
            </w:r>
          </w:p>
        </w:tc>
        <w:tc>
          <w:tcPr>
            <w:tcW w:w="87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-18.81</w:t>
            </w:r>
          </w:p>
        </w:tc>
        <w:tc>
          <w:tcPr>
            <w:tcW w:w="111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0.00</w:t>
            </w:r>
          </w:p>
        </w:tc>
        <w:tc>
          <w:tcPr>
            <w:tcW w:w="638" w:type="dxa"/>
            <w:tcBorders>
              <w:top w:val="single" w:color="000000" w:sz="4" w:space="0"/>
              <w:left w:val="single" w:color="000000" w:sz="4" w:space="0"/>
              <w:bottom w:val="single" w:color="000000" w:sz="4" w:space="0"/>
              <w:right w:val="single" w:color="000000" w:sz="8" w:space="0"/>
            </w:tcBorders>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20"/>
                <w:szCs w:val="20"/>
                <w:u w:val="none"/>
              </w:rPr>
            </w:pPr>
            <w:r>
              <w:rPr>
                <w:rFonts w:hint="eastAsia" w:ascii="宋体" w:hAnsi="宋体" w:eastAsia="宋体" w:cs="宋体"/>
                <w:i w:val="0"/>
                <w:iCs w:val="0"/>
                <w:color w:val="auto"/>
                <w:kern w:val="0"/>
                <w:sz w:val="22"/>
                <w:szCs w:val="22"/>
                <w:u w:val="none"/>
                <w:lang w:val="en-US" w:eastAsia="zh-CN" w:bidi="ar"/>
              </w:rPr>
              <w:t>0.00</w:t>
            </w:r>
          </w:p>
        </w:tc>
      </w:tr>
    </w:tbl>
    <w:p>
      <w:pPr>
        <w:snapToGrid w:val="0"/>
        <w:spacing w:line="520" w:lineRule="exact"/>
        <w:ind w:firstLine="640" w:firstLineChars="200"/>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3" w:firstLineChars="200"/>
        <w:textAlignment w:val="auto"/>
        <w:rPr>
          <w:rFonts w:hint="eastAsia" w:ascii="楷体_GB2312" w:hAnsi="仿宋" w:eastAsia="楷体_GB2312"/>
          <w:b/>
          <w:color w:val="auto"/>
          <w:sz w:val="32"/>
          <w:szCs w:val="32"/>
        </w:rPr>
      </w:pPr>
      <w:r>
        <w:rPr>
          <w:rFonts w:hint="eastAsia" w:ascii="楷体_GB2312" w:hAnsi="仿宋" w:eastAsia="楷体_GB2312"/>
          <w:b/>
          <w:color w:val="auto"/>
          <w:sz w:val="32"/>
          <w:szCs w:val="32"/>
        </w:rPr>
        <w:t>（三）年末结转和结余情况。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1．分资金来源、资金性质结转和结余情况，特别是项目经费结转和结余情况。</w:t>
      </w:r>
    </w:p>
    <w:p>
      <w:pPr>
        <w:snapToGrid w:val="0"/>
        <w:spacing w:line="520" w:lineRule="exact"/>
        <w:ind w:firstLine="640" w:firstLineChars="200"/>
        <w:rPr>
          <w:rFonts w:hint="eastAsia" w:ascii="仿宋_GB2312" w:hAnsi="仿宋" w:eastAsia="仿宋_GB2312"/>
          <w:color w:val="auto"/>
          <w:sz w:val="32"/>
          <w:szCs w:val="32"/>
        </w:rPr>
      </w:pPr>
      <w:r>
        <w:rPr>
          <w:rFonts w:hint="default" w:ascii="Calibri" w:hAnsi="Calibri" w:eastAsia="仿宋_GB2312" w:cs="Calibri"/>
          <w:color w:val="auto"/>
          <w:sz w:val="32"/>
          <w:szCs w:val="32"/>
        </w:rPr>
        <w:t>①</w:t>
      </w:r>
      <w:r>
        <w:rPr>
          <w:rFonts w:hint="eastAsia" w:ascii="仿宋_GB2312" w:hAnsi="仿宋" w:eastAsia="仿宋_GB2312"/>
          <w:color w:val="auto"/>
          <w:sz w:val="32"/>
          <w:szCs w:val="32"/>
        </w:rPr>
        <w:t>年末结转和结余</w:t>
      </w:r>
      <w:r>
        <w:rPr>
          <w:rFonts w:hint="eastAsia" w:ascii="仿宋_GB2312" w:hAnsi="仿宋" w:eastAsia="仿宋_GB2312"/>
          <w:color w:val="auto"/>
          <w:sz w:val="32"/>
          <w:szCs w:val="32"/>
          <w:lang w:val="en-US" w:eastAsia="zh-CN"/>
        </w:rPr>
        <w:t>42.87</w:t>
      </w:r>
      <w:r>
        <w:rPr>
          <w:rFonts w:hint="eastAsia" w:ascii="仿宋_GB2312" w:hAnsi="仿宋" w:eastAsia="仿宋_GB2312"/>
          <w:color w:val="auto"/>
          <w:sz w:val="32"/>
          <w:szCs w:val="32"/>
        </w:rPr>
        <w:t>万元，比上年减少</w:t>
      </w:r>
      <w:r>
        <w:rPr>
          <w:rFonts w:hint="eastAsia" w:ascii="仿宋_GB2312" w:hAnsi="仿宋" w:eastAsia="仿宋_GB2312"/>
          <w:color w:val="auto"/>
          <w:sz w:val="32"/>
          <w:szCs w:val="32"/>
          <w:lang w:val="en-US" w:eastAsia="zh-CN"/>
        </w:rPr>
        <w:t>14.8</w:t>
      </w:r>
      <w:r>
        <w:rPr>
          <w:rFonts w:hint="eastAsia" w:ascii="仿宋_GB2312" w:hAnsi="仿宋" w:eastAsia="仿宋_GB2312"/>
          <w:color w:val="auto"/>
          <w:sz w:val="32"/>
          <w:szCs w:val="32"/>
        </w:rPr>
        <w:t>万元，同比下降</w:t>
      </w:r>
      <w:r>
        <w:rPr>
          <w:rFonts w:hint="eastAsia" w:ascii="仿宋_GB2312" w:hAnsi="仿宋" w:eastAsia="仿宋_GB2312"/>
          <w:color w:val="auto"/>
          <w:sz w:val="32"/>
          <w:szCs w:val="32"/>
          <w:lang w:val="en-US" w:eastAsia="zh-CN"/>
        </w:rPr>
        <w:t>25.67</w:t>
      </w:r>
      <w:r>
        <w:rPr>
          <w:rFonts w:hint="eastAsia" w:ascii="仿宋_GB2312" w:hAnsi="仿宋" w:eastAsia="仿宋_GB2312"/>
          <w:color w:val="auto"/>
          <w:sz w:val="32"/>
          <w:szCs w:val="32"/>
        </w:rPr>
        <w:t>%。其中：财政拨款年末结转和结余</w:t>
      </w:r>
      <w:r>
        <w:rPr>
          <w:rFonts w:hint="eastAsia" w:ascii="仿宋_GB2312" w:hAnsi="仿宋" w:eastAsia="仿宋_GB2312"/>
          <w:color w:val="auto"/>
          <w:sz w:val="32"/>
          <w:szCs w:val="32"/>
          <w:lang w:val="en-US" w:eastAsia="zh-CN"/>
        </w:rPr>
        <w:t>42.5</w:t>
      </w:r>
      <w:r>
        <w:rPr>
          <w:rFonts w:hint="eastAsia" w:ascii="仿宋_GB2312" w:hAnsi="仿宋" w:eastAsia="仿宋_GB2312"/>
          <w:color w:val="auto"/>
          <w:sz w:val="32"/>
          <w:szCs w:val="32"/>
        </w:rPr>
        <w:t>万元，比上年减少</w:t>
      </w:r>
      <w:r>
        <w:rPr>
          <w:rFonts w:hint="eastAsia" w:ascii="仿宋_GB2312" w:hAnsi="仿宋" w:eastAsia="仿宋_GB2312"/>
          <w:color w:val="auto"/>
          <w:sz w:val="32"/>
          <w:szCs w:val="32"/>
          <w:lang w:val="en-US" w:eastAsia="zh-CN"/>
        </w:rPr>
        <w:t>15.17</w:t>
      </w:r>
      <w:r>
        <w:rPr>
          <w:rFonts w:hint="eastAsia" w:ascii="仿宋_GB2312" w:hAnsi="仿宋" w:eastAsia="仿宋_GB2312"/>
          <w:color w:val="auto"/>
          <w:sz w:val="32"/>
          <w:szCs w:val="32"/>
        </w:rPr>
        <w:t>万元，同比下降</w:t>
      </w:r>
      <w:r>
        <w:rPr>
          <w:rFonts w:hint="eastAsia" w:ascii="仿宋_GB2312" w:hAnsi="仿宋" w:eastAsia="仿宋_GB2312"/>
          <w:color w:val="auto"/>
          <w:sz w:val="32"/>
          <w:szCs w:val="32"/>
          <w:lang w:val="en-US" w:eastAsia="zh-CN"/>
        </w:rPr>
        <w:t>26.31</w:t>
      </w:r>
      <w:r>
        <w:rPr>
          <w:rFonts w:hint="eastAsia" w:ascii="仿宋_GB2312" w:hAnsi="仿宋" w:eastAsia="仿宋_GB2312"/>
          <w:color w:val="auto"/>
          <w:sz w:val="32"/>
          <w:szCs w:val="32"/>
        </w:rPr>
        <w:t>%，占支出调整预算总计</w:t>
      </w:r>
      <w:r>
        <w:rPr>
          <w:rFonts w:hint="eastAsia" w:ascii="仿宋_GB2312" w:hAnsi="仿宋" w:eastAsia="仿宋_GB2312"/>
          <w:color w:val="auto"/>
          <w:sz w:val="32"/>
          <w:szCs w:val="32"/>
          <w:lang w:val="en-US" w:eastAsia="zh-CN"/>
        </w:rPr>
        <w:t>1.25</w:t>
      </w:r>
      <w:r>
        <w:rPr>
          <w:rFonts w:hint="eastAsia" w:ascii="仿宋_GB2312" w:hAnsi="仿宋" w:eastAsia="仿宋_GB2312"/>
          <w:color w:val="auto"/>
          <w:sz w:val="32"/>
          <w:szCs w:val="32"/>
        </w:rPr>
        <w:t>%。</w:t>
      </w:r>
    </w:p>
    <w:tbl>
      <w:tblPr>
        <w:tblStyle w:val="8"/>
        <w:tblpPr w:leftFromText="180" w:rightFromText="180" w:vertAnchor="text" w:horzAnchor="page" w:tblpX="938" w:tblpY="437"/>
        <w:tblOverlap w:val="never"/>
        <w:tblW w:w="10394" w:type="dxa"/>
        <w:tblInd w:w="0" w:type="dxa"/>
        <w:tblLayout w:type="fixed"/>
        <w:tblCellMar>
          <w:top w:w="0" w:type="dxa"/>
          <w:left w:w="0" w:type="dxa"/>
          <w:bottom w:w="0" w:type="dxa"/>
          <w:right w:w="0" w:type="dxa"/>
        </w:tblCellMar>
      </w:tblPr>
      <w:tblGrid>
        <w:gridCol w:w="649"/>
        <w:gridCol w:w="649"/>
        <w:gridCol w:w="561"/>
        <w:gridCol w:w="585"/>
        <w:gridCol w:w="525"/>
        <w:gridCol w:w="660"/>
        <w:gridCol w:w="525"/>
        <w:gridCol w:w="435"/>
        <w:gridCol w:w="421"/>
        <w:gridCol w:w="371"/>
        <w:gridCol w:w="649"/>
        <w:gridCol w:w="650"/>
        <w:gridCol w:w="549"/>
        <w:gridCol w:w="472"/>
        <w:gridCol w:w="650"/>
        <w:gridCol w:w="558"/>
        <w:gridCol w:w="555"/>
        <w:gridCol w:w="558"/>
        <w:gridCol w:w="372"/>
      </w:tblGrid>
      <w:tr>
        <w:tblPrEx>
          <w:tblCellMar>
            <w:top w:w="0" w:type="dxa"/>
            <w:left w:w="0" w:type="dxa"/>
            <w:bottom w:w="0" w:type="dxa"/>
            <w:right w:w="0" w:type="dxa"/>
          </w:tblCellMar>
        </w:tblPrEx>
        <w:trPr>
          <w:trHeight w:val="90" w:hRule="atLeast"/>
        </w:trPr>
        <w:tc>
          <w:tcPr>
            <w:tcW w:w="10394" w:type="dxa"/>
            <w:gridSpan w:val="19"/>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21"/>
                <w:szCs w:val="21"/>
                <w:u w:val="none"/>
                <w:lang w:val="en-US" w:eastAsia="zh-CN" w:bidi="ar"/>
              </w:rPr>
              <w:t>年末结转和结余比上年增减情况</w:t>
            </w:r>
          </w:p>
        </w:tc>
      </w:tr>
      <w:tr>
        <w:tblPrEx>
          <w:tblCellMar>
            <w:top w:w="0" w:type="dxa"/>
            <w:left w:w="0" w:type="dxa"/>
            <w:bottom w:w="0" w:type="dxa"/>
            <w:right w:w="0" w:type="dxa"/>
          </w:tblCellMar>
        </w:tblPrEx>
        <w:trPr>
          <w:trHeight w:val="90" w:hRule="atLeast"/>
        </w:trPr>
        <w:tc>
          <w:tcPr>
            <w:tcW w:w="4154" w:type="dxa"/>
            <w:gridSpan w:val="7"/>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年末结转和结余</w:t>
            </w:r>
          </w:p>
        </w:tc>
        <w:tc>
          <w:tcPr>
            <w:tcW w:w="6240" w:type="dxa"/>
            <w:gridSpan w:val="12"/>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其中：</w:t>
            </w:r>
          </w:p>
        </w:tc>
      </w:tr>
      <w:tr>
        <w:tblPrEx>
          <w:tblCellMar>
            <w:top w:w="0" w:type="dxa"/>
            <w:left w:w="0" w:type="dxa"/>
            <w:bottom w:w="0" w:type="dxa"/>
            <w:right w:w="0" w:type="dxa"/>
          </w:tblCellMar>
        </w:tblPrEx>
        <w:trPr>
          <w:trHeight w:val="90" w:hRule="atLeast"/>
        </w:trPr>
        <w:tc>
          <w:tcPr>
            <w:tcW w:w="649"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年末结转和结余</w:t>
            </w:r>
          </w:p>
        </w:tc>
        <w:tc>
          <w:tcPr>
            <w:tcW w:w="649"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比上年增减</w:t>
            </w:r>
          </w:p>
        </w:tc>
        <w:tc>
          <w:tcPr>
            <w:tcW w:w="56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增减%</w:t>
            </w:r>
          </w:p>
        </w:tc>
        <w:tc>
          <w:tcPr>
            <w:tcW w:w="2295"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其中：</w:t>
            </w:r>
          </w:p>
        </w:tc>
        <w:tc>
          <w:tcPr>
            <w:tcW w:w="43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基本支出结转</w:t>
            </w:r>
          </w:p>
        </w:tc>
        <w:tc>
          <w:tcPr>
            <w:tcW w:w="42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比上年增减</w:t>
            </w:r>
          </w:p>
        </w:tc>
        <w:tc>
          <w:tcPr>
            <w:tcW w:w="371"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增减%</w:t>
            </w:r>
          </w:p>
        </w:tc>
        <w:tc>
          <w:tcPr>
            <w:tcW w:w="3528"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项目支出结转和结余</w:t>
            </w:r>
          </w:p>
        </w:tc>
        <w:tc>
          <w:tcPr>
            <w:tcW w:w="5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年末经营结余</w:t>
            </w:r>
          </w:p>
        </w:tc>
        <w:tc>
          <w:tcPr>
            <w:tcW w:w="558"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比上年增减</w:t>
            </w:r>
          </w:p>
        </w:tc>
        <w:tc>
          <w:tcPr>
            <w:tcW w:w="372"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增减%</w:t>
            </w:r>
          </w:p>
        </w:tc>
      </w:tr>
      <w:tr>
        <w:tblPrEx>
          <w:tblCellMar>
            <w:top w:w="0" w:type="dxa"/>
            <w:left w:w="0" w:type="dxa"/>
            <w:bottom w:w="0" w:type="dxa"/>
            <w:right w:w="0" w:type="dxa"/>
          </w:tblCellMar>
        </w:tblPrEx>
        <w:trPr>
          <w:trHeight w:val="90" w:hRule="atLeast"/>
        </w:trPr>
        <w:tc>
          <w:tcPr>
            <w:tcW w:w="6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6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8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财政拨款年末结转和结余</w:t>
            </w:r>
          </w:p>
        </w:tc>
        <w:tc>
          <w:tcPr>
            <w:tcW w:w="52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比上年增减</w:t>
            </w:r>
          </w:p>
        </w:tc>
        <w:tc>
          <w:tcPr>
            <w:tcW w:w="66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增减%</w:t>
            </w:r>
          </w:p>
        </w:tc>
        <w:tc>
          <w:tcPr>
            <w:tcW w:w="52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占支出调整预算总计%</w:t>
            </w:r>
          </w:p>
        </w:tc>
        <w:tc>
          <w:tcPr>
            <w:tcW w:w="4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42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37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49"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项目支出年末结转和结余</w:t>
            </w:r>
          </w:p>
        </w:tc>
        <w:tc>
          <w:tcPr>
            <w:tcW w:w="65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比上年增减</w:t>
            </w:r>
          </w:p>
        </w:tc>
        <w:tc>
          <w:tcPr>
            <w:tcW w:w="549"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增减%</w:t>
            </w:r>
          </w:p>
        </w:tc>
        <w:tc>
          <w:tcPr>
            <w:tcW w:w="1680" w:type="dxa"/>
            <w:gridSpan w:val="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其中：</w:t>
            </w: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55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37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r>
      <w:tr>
        <w:tblPrEx>
          <w:tblCellMar>
            <w:top w:w="0" w:type="dxa"/>
            <w:left w:w="0" w:type="dxa"/>
            <w:bottom w:w="0" w:type="dxa"/>
            <w:right w:w="0" w:type="dxa"/>
          </w:tblCellMar>
        </w:tblPrEx>
        <w:trPr>
          <w:trHeight w:val="90" w:hRule="atLeast"/>
        </w:trPr>
        <w:tc>
          <w:tcPr>
            <w:tcW w:w="6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6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8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5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4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42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371"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6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65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549"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6"/>
                <w:szCs w:val="16"/>
                <w:u w:val="none"/>
              </w:rPr>
            </w:pPr>
          </w:p>
        </w:tc>
        <w:tc>
          <w:tcPr>
            <w:tcW w:w="47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财政拨款年末结转和结余</w:t>
            </w:r>
          </w:p>
        </w:tc>
        <w:tc>
          <w:tcPr>
            <w:tcW w:w="65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比上年增减</w:t>
            </w:r>
          </w:p>
        </w:tc>
        <w:tc>
          <w:tcPr>
            <w:tcW w:w="55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增减%</w:t>
            </w: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558"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c>
          <w:tcPr>
            <w:tcW w:w="372"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color w:val="auto"/>
                <w:sz w:val="16"/>
                <w:szCs w:val="16"/>
              </w:rPr>
            </w:pPr>
          </w:p>
        </w:tc>
      </w:tr>
      <w:tr>
        <w:tblPrEx>
          <w:tblCellMar>
            <w:top w:w="0" w:type="dxa"/>
            <w:left w:w="0" w:type="dxa"/>
            <w:bottom w:w="0" w:type="dxa"/>
            <w:right w:w="0" w:type="dxa"/>
          </w:tblCellMar>
        </w:tblPrEx>
        <w:trPr>
          <w:trHeight w:val="312" w:hRule="atLeast"/>
        </w:trPr>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w:t>
            </w:r>
          </w:p>
        </w:tc>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w:t>
            </w:r>
          </w:p>
        </w:tc>
        <w:tc>
          <w:tcPr>
            <w:tcW w:w="5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3</w:t>
            </w:r>
          </w:p>
        </w:tc>
        <w:tc>
          <w:tcPr>
            <w:tcW w:w="58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w:t>
            </w:r>
          </w:p>
        </w:tc>
        <w:tc>
          <w:tcPr>
            <w:tcW w:w="5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5</w:t>
            </w:r>
          </w:p>
        </w:tc>
        <w:tc>
          <w:tcPr>
            <w:tcW w:w="6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6</w:t>
            </w:r>
          </w:p>
        </w:tc>
        <w:tc>
          <w:tcPr>
            <w:tcW w:w="5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7</w:t>
            </w:r>
          </w:p>
        </w:tc>
        <w:tc>
          <w:tcPr>
            <w:tcW w:w="4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8</w:t>
            </w:r>
          </w:p>
        </w:tc>
        <w:tc>
          <w:tcPr>
            <w:tcW w:w="42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9</w:t>
            </w:r>
          </w:p>
        </w:tc>
        <w:tc>
          <w:tcPr>
            <w:tcW w:w="37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10</w:t>
            </w:r>
          </w:p>
        </w:tc>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11</w:t>
            </w:r>
          </w:p>
        </w:tc>
        <w:tc>
          <w:tcPr>
            <w:tcW w:w="65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w:t>
            </w:r>
          </w:p>
        </w:tc>
        <w:tc>
          <w:tcPr>
            <w:tcW w:w="5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13</w:t>
            </w:r>
          </w:p>
        </w:tc>
        <w:tc>
          <w:tcPr>
            <w:tcW w:w="47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w:t>
            </w:r>
          </w:p>
        </w:tc>
        <w:tc>
          <w:tcPr>
            <w:tcW w:w="65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w:t>
            </w:r>
          </w:p>
        </w:tc>
        <w:tc>
          <w:tcPr>
            <w:tcW w:w="55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16</w:t>
            </w:r>
          </w:p>
        </w:tc>
        <w:tc>
          <w:tcPr>
            <w:tcW w:w="55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17</w:t>
            </w:r>
          </w:p>
        </w:tc>
        <w:tc>
          <w:tcPr>
            <w:tcW w:w="55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18</w:t>
            </w:r>
          </w:p>
        </w:tc>
        <w:tc>
          <w:tcPr>
            <w:tcW w:w="37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19</w:t>
            </w:r>
          </w:p>
        </w:tc>
      </w:tr>
      <w:tr>
        <w:tblPrEx>
          <w:tblCellMar>
            <w:top w:w="0" w:type="dxa"/>
            <w:left w:w="0" w:type="dxa"/>
            <w:bottom w:w="0" w:type="dxa"/>
            <w:right w:w="0" w:type="dxa"/>
          </w:tblCellMar>
        </w:tblPrEx>
        <w:trPr>
          <w:trHeight w:val="731" w:hRule="atLeast"/>
        </w:trPr>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42.87</w:t>
            </w:r>
          </w:p>
        </w:tc>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-14.80</w:t>
            </w:r>
          </w:p>
        </w:tc>
        <w:tc>
          <w:tcPr>
            <w:tcW w:w="56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-25.67</w:t>
            </w:r>
          </w:p>
        </w:tc>
        <w:tc>
          <w:tcPr>
            <w:tcW w:w="58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42.50</w:t>
            </w:r>
          </w:p>
        </w:tc>
        <w:tc>
          <w:tcPr>
            <w:tcW w:w="5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-15.17</w:t>
            </w:r>
          </w:p>
        </w:tc>
        <w:tc>
          <w:tcPr>
            <w:tcW w:w="6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-26.31</w:t>
            </w:r>
          </w:p>
        </w:tc>
        <w:tc>
          <w:tcPr>
            <w:tcW w:w="5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1.25</w:t>
            </w:r>
          </w:p>
        </w:tc>
        <w:tc>
          <w:tcPr>
            <w:tcW w:w="4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0.37</w:t>
            </w:r>
          </w:p>
        </w:tc>
        <w:tc>
          <w:tcPr>
            <w:tcW w:w="42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0.37</w:t>
            </w:r>
          </w:p>
        </w:tc>
        <w:tc>
          <w:tcPr>
            <w:tcW w:w="371"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6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42.50</w:t>
            </w:r>
          </w:p>
        </w:tc>
        <w:tc>
          <w:tcPr>
            <w:tcW w:w="65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-15.17</w:t>
            </w:r>
          </w:p>
        </w:tc>
        <w:tc>
          <w:tcPr>
            <w:tcW w:w="549"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-26.31</w:t>
            </w:r>
          </w:p>
        </w:tc>
        <w:tc>
          <w:tcPr>
            <w:tcW w:w="47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42.50</w:t>
            </w:r>
          </w:p>
        </w:tc>
        <w:tc>
          <w:tcPr>
            <w:tcW w:w="65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-15.17</w:t>
            </w:r>
          </w:p>
        </w:tc>
        <w:tc>
          <w:tcPr>
            <w:tcW w:w="55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-26.31</w:t>
            </w:r>
          </w:p>
        </w:tc>
        <w:tc>
          <w:tcPr>
            <w:tcW w:w="55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558"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6"/>
                <w:szCs w:val="16"/>
                <w:u w:val="none"/>
              </w:rPr>
            </w:pPr>
            <w:r>
              <w:rPr>
                <w:rFonts w:hint="eastAsia" w:ascii="宋体" w:hAnsi="宋体" w:eastAsia="宋体" w:cs="宋体"/>
                <w:i w:val="0"/>
                <w:iCs w:val="0"/>
                <w:color w:val="auto"/>
                <w:kern w:val="0"/>
                <w:sz w:val="16"/>
                <w:szCs w:val="16"/>
                <w:u w:val="none"/>
                <w:lang w:val="en-US" w:eastAsia="zh-CN" w:bidi="ar"/>
              </w:rPr>
              <w:t>0.00</w:t>
            </w:r>
          </w:p>
        </w:tc>
        <w:tc>
          <w:tcPr>
            <w:tcW w:w="372"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right"/>
              <w:textAlignment w:val="center"/>
              <w:rPr>
                <w:color w:val="auto"/>
                <w:sz w:val="16"/>
                <w:szCs w:val="16"/>
              </w:rPr>
            </w:pPr>
            <w:r>
              <w:rPr>
                <w:rFonts w:hint="eastAsia" w:ascii="宋体" w:hAnsi="宋体" w:eastAsia="宋体" w:cs="宋体"/>
                <w:i w:val="0"/>
                <w:iCs w:val="0"/>
                <w:color w:val="auto"/>
                <w:kern w:val="0"/>
                <w:sz w:val="16"/>
                <w:szCs w:val="16"/>
                <w:u w:val="none"/>
                <w:lang w:val="en-US" w:eastAsia="zh-CN" w:bidi="ar"/>
              </w:rPr>
              <w:t>0.00</w:t>
            </w:r>
          </w:p>
        </w:tc>
      </w:tr>
    </w:tbl>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其中：</w:t>
      </w:r>
      <w:r>
        <w:rPr>
          <w:rFonts w:hint="eastAsia" w:ascii="仿宋_GB2312" w:hAnsi="仿宋" w:eastAsia="仿宋_GB2312"/>
          <w:color w:val="auto"/>
          <w:sz w:val="32"/>
          <w:szCs w:val="32"/>
        </w:rPr>
        <w:t>基本支出结转</w:t>
      </w:r>
      <w:r>
        <w:rPr>
          <w:rFonts w:hint="eastAsia" w:ascii="仿宋_GB2312" w:hAnsi="仿宋" w:eastAsia="仿宋_GB2312"/>
          <w:color w:val="auto"/>
          <w:sz w:val="32"/>
          <w:szCs w:val="32"/>
          <w:lang w:val="en-US" w:eastAsia="zh-CN"/>
        </w:rPr>
        <w:t>0</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与上年持平</w:t>
      </w:r>
      <w:r>
        <w:rPr>
          <w:rFonts w:hint="eastAsia" w:ascii="仿宋_GB2312" w:hAnsi="仿宋" w:eastAsia="仿宋_GB2312"/>
          <w:color w:val="auto"/>
          <w:sz w:val="32"/>
          <w:szCs w:val="32"/>
        </w:rPr>
        <w:t>，同比下降</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%；项目支出年末结转和结余</w:t>
      </w:r>
      <w:r>
        <w:rPr>
          <w:rFonts w:hint="eastAsia" w:ascii="仿宋_GB2312" w:hAnsi="仿宋" w:eastAsia="仿宋_GB2312"/>
          <w:color w:val="auto"/>
          <w:sz w:val="32"/>
          <w:szCs w:val="32"/>
          <w:lang w:val="en-US" w:eastAsia="zh-CN"/>
        </w:rPr>
        <w:t>42.87</w:t>
      </w:r>
      <w:r>
        <w:rPr>
          <w:rFonts w:hint="eastAsia" w:ascii="仿宋_GB2312" w:hAnsi="仿宋" w:eastAsia="仿宋_GB2312"/>
          <w:color w:val="auto"/>
          <w:sz w:val="32"/>
          <w:szCs w:val="32"/>
        </w:rPr>
        <w:t>万元，比上年</w:t>
      </w:r>
      <w:r>
        <w:rPr>
          <w:rFonts w:hint="eastAsia" w:ascii="仿宋_GB2312" w:hAnsi="仿宋" w:eastAsia="仿宋_GB2312"/>
          <w:color w:val="auto"/>
          <w:sz w:val="32"/>
          <w:szCs w:val="32"/>
          <w:lang w:eastAsia="zh-CN"/>
        </w:rPr>
        <w:t>减少</w:t>
      </w:r>
      <w:r>
        <w:rPr>
          <w:rFonts w:hint="eastAsia" w:ascii="仿宋_GB2312" w:hAnsi="仿宋" w:eastAsia="仿宋_GB2312"/>
          <w:color w:val="auto"/>
          <w:sz w:val="32"/>
          <w:szCs w:val="32"/>
          <w:lang w:val="en-US" w:eastAsia="zh-CN"/>
        </w:rPr>
        <w:t>15.17</w:t>
      </w:r>
      <w:r>
        <w:rPr>
          <w:rFonts w:hint="eastAsia" w:ascii="仿宋_GB2312" w:hAnsi="仿宋" w:eastAsia="仿宋_GB2312"/>
          <w:color w:val="auto"/>
          <w:sz w:val="32"/>
          <w:szCs w:val="32"/>
        </w:rPr>
        <w:t>万元，全部为财政拨款年末结转和结余。</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eastAsia="zh-CN"/>
        </w:rPr>
      </w:pPr>
      <w:r>
        <w:rPr>
          <w:rFonts w:hint="default" w:ascii="Calibri" w:hAnsi="Calibri" w:eastAsia="仿宋_GB2312" w:cs="Calibri"/>
          <w:color w:val="auto"/>
          <w:sz w:val="32"/>
          <w:szCs w:val="32"/>
        </w:rPr>
        <w:t>②</w:t>
      </w:r>
      <w:r>
        <w:rPr>
          <w:rFonts w:hint="eastAsia" w:ascii="仿宋_GB2312" w:hAnsi="仿宋" w:eastAsia="仿宋_GB2312"/>
          <w:color w:val="auto"/>
          <w:sz w:val="32"/>
          <w:szCs w:val="32"/>
        </w:rPr>
        <w:t>专用基金结余13.07万元。</w:t>
      </w:r>
      <w:r>
        <w:rPr>
          <w:rFonts w:hint="eastAsia" w:ascii="仿宋_GB2312" w:hAnsi="仿宋" w:eastAsia="仿宋_GB2312"/>
          <w:color w:val="auto"/>
          <w:sz w:val="32"/>
          <w:szCs w:val="32"/>
          <w:lang w:eastAsia="zh-CN"/>
        </w:rPr>
        <w:t>与上年持平。</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2．结转和结余规模较大的原因分析</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ascii="仿宋_GB2312" w:eastAsia="仿宋_GB2312" w:cs="Times New Roman"/>
          <w:color w:val="auto"/>
          <w:sz w:val="32"/>
          <w:szCs w:val="32"/>
        </w:rPr>
      </w:pPr>
      <w:r>
        <w:rPr>
          <w:rFonts w:hint="eastAsia" w:ascii="仿宋_GB2312" w:eastAsia="仿宋_GB2312" w:cs="Times New Roman"/>
          <w:color w:val="auto"/>
          <w:sz w:val="32"/>
          <w:szCs w:val="32"/>
        </w:rPr>
        <w:t>变动</w:t>
      </w:r>
      <w:r>
        <w:rPr>
          <w:rFonts w:hint="eastAsia" w:ascii="仿宋_GB2312" w:eastAsia="仿宋_GB2312" w:cs="Times New Roman"/>
          <w:color w:val="auto"/>
          <w:sz w:val="32"/>
          <w:szCs w:val="32"/>
          <w:lang w:eastAsia="zh-CN"/>
        </w:rPr>
        <w:t>较大</w:t>
      </w:r>
      <w:r>
        <w:rPr>
          <w:rFonts w:hint="eastAsia" w:ascii="仿宋_GB2312" w:eastAsia="仿宋_GB2312" w:cs="Times New Roman"/>
          <w:color w:val="auto"/>
          <w:sz w:val="32"/>
          <w:szCs w:val="32"/>
        </w:rPr>
        <w:t>的原因：</w:t>
      </w:r>
      <w:r>
        <w:rPr>
          <w:rFonts w:hint="default" w:ascii="Calibri" w:hAnsi="Calibri" w:eastAsia="仿宋_GB2312" w:cs="Calibri"/>
          <w:color w:val="auto"/>
          <w:sz w:val="32"/>
          <w:szCs w:val="32"/>
        </w:rPr>
        <w:t>①</w:t>
      </w:r>
      <w:r>
        <w:rPr>
          <w:rFonts w:hint="eastAsia" w:ascii="仿宋_GB2312" w:eastAsia="仿宋_GB2312" w:cs="Times New Roman"/>
          <w:color w:val="auto"/>
          <w:sz w:val="32"/>
          <w:szCs w:val="32"/>
        </w:rPr>
        <w:t>20</w:t>
      </w:r>
      <w:r>
        <w:rPr>
          <w:rFonts w:hint="eastAsia" w:ascii="仿宋_GB2312" w:eastAsia="仿宋_GB2312" w:cs="Times New Roman"/>
          <w:color w:val="auto"/>
          <w:sz w:val="32"/>
          <w:szCs w:val="32"/>
          <w:lang w:val="en-US" w:eastAsia="zh-CN"/>
        </w:rPr>
        <w:t>20</w:t>
      </w:r>
      <w:r>
        <w:rPr>
          <w:rFonts w:hint="eastAsia" w:ascii="仿宋_GB2312" w:eastAsia="仿宋_GB2312" w:cs="Times New Roman"/>
          <w:color w:val="auto"/>
          <w:sz w:val="32"/>
          <w:szCs w:val="32"/>
        </w:rPr>
        <w:t>年度</w:t>
      </w:r>
      <w:r>
        <w:rPr>
          <w:rFonts w:hint="eastAsia" w:ascii="仿宋_GB2312" w:eastAsia="仿宋_GB2312" w:cs="Times New Roman"/>
          <w:color w:val="auto"/>
          <w:sz w:val="32"/>
          <w:szCs w:val="32"/>
          <w:lang w:eastAsia="zh-CN"/>
        </w:rPr>
        <w:t>项目结转较</w:t>
      </w:r>
      <w:r>
        <w:rPr>
          <w:rFonts w:hint="eastAsia" w:ascii="仿宋_GB2312" w:eastAsia="仿宋_GB2312" w:cs="Times New Roman"/>
          <w:color w:val="auto"/>
          <w:sz w:val="32"/>
          <w:szCs w:val="32"/>
        </w:rPr>
        <w:t>上年</w:t>
      </w:r>
      <w:r>
        <w:rPr>
          <w:rFonts w:hint="eastAsia" w:ascii="仿宋_GB2312" w:eastAsia="仿宋_GB2312" w:cs="Times New Roman"/>
          <w:color w:val="auto"/>
          <w:sz w:val="32"/>
          <w:szCs w:val="32"/>
          <w:lang w:eastAsia="zh-CN"/>
        </w:rPr>
        <w:t>少</w:t>
      </w:r>
      <w:r>
        <w:rPr>
          <w:rFonts w:hint="eastAsia" w:ascii="仿宋_GB2312" w:eastAsia="仿宋_GB2312" w:cs="Times New Roman"/>
          <w:color w:val="auto"/>
          <w:sz w:val="32"/>
          <w:szCs w:val="32"/>
          <w:lang w:val="en-US" w:eastAsia="zh-CN"/>
        </w:rPr>
        <w:t>。</w:t>
      </w:r>
    </w:p>
    <w:p>
      <w:pPr>
        <w:snapToGrid w:val="0"/>
        <w:spacing w:line="520" w:lineRule="exact"/>
        <w:ind w:firstLine="643" w:firstLineChars="200"/>
        <w:rPr>
          <w:rFonts w:hint="eastAsia" w:ascii="楷体_GB2312" w:hAnsi="仿宋" w:eastAsia="楷体_GB2312"/>
          <w:b/>
          <w:color w:val="auto"/>
          <w:sz w:val="32"/>
          <w:szCs w:val="32"/>
        </w:rPr>
      </w:pPr>
    </w:p>
    <w:p>
      <w:pPr>
        <w:snapToGrid w:val="0"/>
        <w:spacing w:line="520" w:lineRule="exact"/>
        <w:ind w:firstLine="643" w:firstLineChars="200"/>
        <w:rPr>
          <w:rFonts w:ascii="楷体_GB2312" w:hAnsi="仿宋" w:eastAsia="楷体_GB2312"/>
          <w:b/>
          <w:color w:val="auto"/>
          <w:sz w:val="32"/>
          <w:szCs w:val="32"/>
        </w:rPr>
      </w:pPr>
      <w:r>
        <w:rPr>
          <w:rFonts w:hint="eastAsia" w:ascii="楷体_GB2312" w:hAnsi="仿宋" w:eastAsia="楷体_GB2312"/>
          <w:b/>
          <w:color w:val="auto"/>
          <w:sz w:val="32"/>
          <w:szCs w:val="32"/>
        </w:rPr>
        <w:t>（四）绩效目标完成情况。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1.概述项目绩效目标完成情况。</w:t>
      </w:r>
    </w:p>
    <w:p>
      <w:pPr>
        <w:spacing w:line="560" w:lineRule="exact"/>
        <w:ind w:firstLine="640" w:firstLineChars="200"/>
        <w:rPr>
          <w:rFonts w:hint="eastAsia" w:ascii="仿宋_GB2312" w:eastAsia="仿宋_GB2312"/>
          <w:color w:val="auto"/>
          <w:sz w:val="32"/>
          <w:szCs w:val="32"/>
        </w:rPr>
      </w:pPr>
      <w:r>
        <w:rPr>
          <w:rFonts w:hint="eastAsia" w:ascii="仿宋_GB2312" w:hAnsi="仿宋" w:eastAsia="仿宋_GB2312"/>
          <w:color w:val="auto"/>
          <w:sz w:val="32"/>
          <w:szCs w:val="32"/>
        </w:rPr>
        <w:t>（1）城区卫生监管经费、城区环卫保洁经费、</w:t>
      </w:r>
      <w:r>
        <w:rPr>
          <w:rFonts w:hint="eastAsia" w:ascii="仿宋_GB2312" w:hAnsi="仿宋" w:eastAsia="仿宋_GB2312"/>
          <w:color w:val="auto"/>
          <w:sz w:val="32"/>
          <w:szCs w:val="32"/>
          <w:lang w:eastAsia="zh-CN"/>
        </w:rPr>
        <w:t>六圩停车场改建</w:t>
      </w:r>
      <w:r>
        <w:rPr>
          <w:rFonts w:hint="eastAsia" w:ascii="仿宋_GB2312" w:hAnsi="仿宋" w:eastAsia="仿宋_GB2312"/>
          <w:color w:val="auto"/>
          <w:sz w:val="32"/>
          <w:szCs w:val="32"/>
          <w:lang w:val="en-US" w:eastAsia="zh-CN"/>
        </w:rPr>
        <w:t>、伙食补助和物业补贴项目</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年财政预算拨款</w:t>
      </w:r>
      <w:r>
        <w:rPr>
          <w:rFonts w:hint="eastAsia" w:ascii="仿宋_GB2312" w:eastAsia="仿宋_GB2312"/>
          <w:color w:val="auto"/>
          <w:sz w:val="32"/>
          <w:szCs w:val="32"/>
          <w:lang w:eastAsia="zh-CN"/>
        </w:rPr>
        <w:t>非税项目</w:t>
      </w:r>
      <w:r>
        <w:rPr>
          <w:rFonts w:hint="eastAsia" w:ascii="仿宋_GB2312" w:eastAsia="仿宋_GB2312"/>
          <w:color w:val="auto"/>
          <w:sz w:val="32"/>
          <w:szCs w:val="32"/>
        </w:rPr>
        <w:t>工作经费</w:t>
      </w:r>
      <w:r>
        <w:rPr>
          <w:rFonts w:hint="eastAsia" w:ascii="仿宋_GB2312" w:eastAsia="仿宋_GB2312"/>
          <w:color w:val="auto"/>
          <w:sz w:val="32"/>
          <w:szCs w:val="32"/>
          <w:lang w:val="en-US" w:eastAsia="zh-CN"/>
        </w:rPr>
        <w:t>193.23</w:t>
      </w:r>
      <w:r>
        <w:rPr>
          <w:rFonts w:hint="eastAsia" w:ascii="仿宋_GB2312" w:eastAsia="仿宋_GB2312"/>
          <w:color w:val="auto"/>
          <w:sz w:val="32"/>
          <w:szCs w:val="32"/>
        </w:rPr>
        <w:t>万元</w:t>
      </w:r>
      <w:r>
        <w:rPr>
          <w:rFonts w:hint="eastAsia" w:ascii="仿宋_GB2312" w:eastAsia="仿宋_GB2312"/>
          <w:color w:val="auto"/>
          <w:sz w:val="32"/>
          <w:szCs w:val="32"/>
          <w:lang w:eastAsia="zh-CN"/>
        </w:rPr>
        <w:t>（其中：</w:t>
      </w:r>
      <w:r>
        <w:rPr>
          <w:rFonts w:hint="eastAsia" w:ascii="仿宋_GB2312" w:eastAsia="仿宋_GB2312"/>
          <w:color w:val="auto"/>
          <w:sz w:val="32"/>
          <w:szCs w:val="32"/>
          <w:u w:val="none"/>
        </w:rPr>
        <w:t>城区卫生监管经费</w:t>
      </w:r>
      <w:r>
        <w:rPr>
          <w:rFonts w:hint="eastAsia" w:ascii="仿宋_GB2312" w:eastAsia="仿宋_GB2312"/>
          <w:color w:val="auto"/>
          <w:sz w:val="32"/>
          <w:szCs w:val="32"/>
          <w:u w:val="none"/>
          <w:lang w:val="en-US" w:eastAsia="zh-CN"/>
        </w:rPr>
        <w:t>63.75万元</w:t>
      </w:r>
      <w:r>
        <w:rPr>
          <w:rFonts w:hint="eastAsia" w:ascii="仿宋_GB2312" w:eastAsia="仿宋_GB2312"/>
          <w:color w:val="auto"/>
          <w:sz w:val="32"/>
          <w:szCs w:val="32"/>
          <w:u w:val="none"/>
        </w:rPr>
        <w:t>、城区环卫保洁经费</w:t>
      </w:r>
      <w:r>
        <w:rPr>
          <w:rFonts w:hint="eastAsia" w:ascii="仿宋_GB2312" w:eastAsia="仿宋_GB2312"/>
          <w:color w:val="auto"/>
          <w:sz w:val="32"/>
          <w:szCs w:val="32"/>
          <w:u w:val="none"/>
          <w:lang w:val="en-US" w:eastAsia="zh-CN"/>
        </w:rPr>
        <w:t>53.98万元</w:t>
      </w:r>
      <w:r>
        <w:rPr>
          <w:rFonts w:hint="eastAsia" w:ascii="仿宋_GB2312" w:eastAsia="仿宋_GB2312"/>
          <w:color w:val="auto"/>
          <w:sz w:val="32"/>
          <w:szCs w:val="32"/>
          <w:u w:val="none"/>
        </w:rPr>
        <w:t>、</w:t>
      </w:r>
      <w:r>
        <w:rPr>
          <w:rFonts w:hint="eastAsia" w:ascii="仿宋_GB2312" w:hAnsi="仿宋" w:eastAsia="仿宋_GB2312"/>
          <w:color w:val="auto"/>
          <w:sz w:val="32"/>
          <w:szCs w:val="32"/>
          <w:lang w:eastAsia="zh-CN"/>
        </w:rPr>
        <w:t>六圩停车场改建</w:t>
      </w:r>
      <w:r>
        <w:rPr>
          <w:rFonts w:hint="eastAsia" w:ascii="仿宋_GB2312" w:hAnsi="仿宋" w:eastAsia="仿宋_GB2312"/>
          <w:color w:val="auto"/>
          <w:sz w:val="32"/>
          <w:szCs w:val="32"/>
          <w:lang w:val="en-US" w:eastAsia="zh-CN"/>
        </w:rPr>
        <w:t>42.5</w:t>
      </w:r>
      <w:r>
        <w:rPr>
          <w:rFonts w:hint="eastAsia" w:ascii="仿宋_GB2312" w:eastAsia="仿宋_GB2312"/>
          <w:color w:val="auto"/>
          <w:sz w:val="32"/>
          <w:szCs w:val="32"/>
          <w:u w:val="none"/>
          <w:lang w:val="en-US" w:eastAsia="zh-CN"/>
        </w:rPr>
        <w:t>万元、伙食补助和物业补贴33万元）</w:t>
      </w:r>
      <w:r>
        <w:rPr>
          <w:rFonts w:hint="eastAsia" w:ascii="仿宋_GB2312" w:eastAsia="仿宋_GB2312"/>
          <w:color w:val="auto"/>
          <w:sz w:val="32"/>
          <w:szCs w:val="32"/>
          <w:lang w:eastAsia="zh-CN"/>
        </w:rPr>
        <w:t>。</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日，实际到位资金</w:t>
      </w:r>
      <w:r>
        <w:rPr>
          <w:rFonts w:hint="eastAsia" w:ascii="仿宋_GB2312" w:eastAsia="仿宋_GB2312"/>
          <w:color w:val="auto"/>
          <w:sz w:val="32"/>
          <w:szCs w:val="32"/>
          <w:lang w:val="en-US" w:eastAsia="zh-CN"/>
        </w:rPr>
        <w:t>193.23</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。该项工作经费</w:t>
      </w:r>
      <w:r>
        <w:rPr>
          <w:rFonts w:hint="eastAsia" w:ascii="仿宋_GB2312" w:eastAsia="仿宋_GB2312"/>
          <w:color w:val="auto"/>
          <w:sz w:val="32"/>
          <w:szCs w:val="32"/>
          <w:lang w:eastAsia="zh-CN"/>
        </w:rPr>
        <w:t>实际</w:t>
      </w:r>
      <w:r>
        <w:rPr>
          <w:rFonts w:hint="eastAsia" w:ascii="仿宋_GB2312" w:eastAsia="仿宋_GB2312"/>
          <w:color w:val="auto"/>
          <w:sz w:val="32"/>
          <w:szCs w:val="32"/>
        </w:rPr>
        <w:t>支出</w:t>
      </w:r>
      <w:r>
        <w:rPr>
          <w:rFonts w:hint="eastAsia" w:ascii="仿宋_GB2312" w:eastAsia="仿宋_GB2312"/>
          <w:color w:val="auto"/>
          <w:sz w:val="32"/>
          <w:szCs w:val="32"/>
          <w:lang w:val="en-US" w:eastAsia="zh-CN"/>
        </w:rPr>
        <w:t>150.73</w:t>
      </w:r>
      <w:r>
        <w:rPr>
          <w:rFonts w:hint="eastAsia" w:ascii="仿宋_GB2312" w:eastAsia="仿宋_GB2312"/>
          <w:color w:val="auto"/>
          <w:sz w:val="32"/>
          <w:szCs w:val="32"/>
        </w:rPr>
        <w:t>万元</w:t>
      </w:r>
      <w:r>
        <w:rPr>
          <w:rFonts w:hint="eastAsia" w:ascii="仿宋_GB2312" w:eastAsia="仿宋_GB2312"/>
          <w:color w:val="auto"/>
          <w:sz w:val="32"/>
          <w:szCs w:val="32"/>
          <w:lang w:eastAsia="zh-CN"/>
        </w:rPr>
        <w:t>，执行进度</w:t>
      </w:r>
      <w:r>
        <w:rPr>
          <w:rFonts w:hint="eastAsia" w:ascii="仿宋_GB2312" w:eastAsia="仿宋_GB2312"/>
          <w:color w:val="auto"/>
          <w:sz w:val="32"/>
          <w:szCs w:val="32"/>
          <w:lang w:val="en-US" w:eastAsia="zh-CN"/>
        </w:rPr>
        <w:t>78.01%</w:t>
      </w:r>
      <w:r>
        <w:rPr>
          <w:rFonts w:hint="eastAsia" w:ascii="仿宋_GB2312" w:eastAsia="仿宋_GB2312"/>
          <w:color w:val="auto"/>
          <w:sz w:val="32"/>
          <w:szCs w:val="32"/>
        </w:rPr>
        <w:t>。</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目标1：完成城区卫生监管工作。</w:t>
      </w:r>
    </w:p>
    <w:p>
      <w:pPr>
        <w:ind w:left="798" w:leftChars="380"/>
        <w:rPr>
          <w:rFonts w:hint="eastAsia" w:ascii="仿宋_GB2312" w:hAnsi="仿宋" w:eastAsia="仿宋_GB2312"/>
          <w:color w:val="auto"/>
          <w:sz w:val="32"/>
          <w:szCs w:val="32"/>
        </w:rPr>
      </w:pPr>
      <w:r>
        <w:rPr>
          <w:rFonts w:hint="eastAsia" w:ascii="仿宋_GB2312" w:hAnsi="仿宋" w:eastAsia="仿宋_GB2312"/>
          <w:color w:val="auto"/>
          <w:sz w:val="32"/>
          <w:szCs w:val="32"/>
        </w:rPr>
        <w:t>目标2：进行垃圾收集、清扫保洁、垃圾清运工作。                                      目标3：按相关政策计算、发放</w:t>
      </w:r>
      <w:r>
        <w:rPr>
          <w:rFonts w:hint="eastAsia" w:ascii="仿宋_GB2312" w:hAnsi="仿宋" w:eastAsia="仿宋_GB2312"/>
          <w:color w:val="auto"/>
          <w:sz w:val="32"/>
          <w:szCs w:val="32"/>
          <w:lang w:eastAsia="zh-CN"/>
        </w:rPr>
        <w:t>职工伙食补助和物业补贴</w:t>
      </w:r>
      <w:r>
        <w:rPr>
          <w:rFonts w:hint="eastAsia" w:ascii="仿宋_GB2312" w:hAnsi="仿宋" w:eastAsia="仿宋_GB2312"/>
          <w:color w:val="auto"/>
          <w:sz w:val="32"/>
          <w:szCs w:val="32"/>
        </w:rPr>
        <w:t>。</w:t>
      </w:r>
    </w:p>
    <w:p>
      <w:pPr>
        <w:ind w:left="798" w:leftChars="380"/>
        <w:rPr>
          <w:rFonts w:hint="eastAsia" w:ascii="宋体" w:hAnsi="宋体" w:cs="宋体"/>
          <w:color w:val="auto"/>
          <w:sz w:val="32"/>
          <w:szCs w:val="32"/>
        </w:rPr>
      </w:pPr>
      <w:r>
        <w:rPr>
          <w:rFonts w:hint="eastAsia" w:ascii="仿宋_GB2312" w:hAnsi="仿宋" w:eastAsia="仿宋_GB2312"/>
          <w:color w:val="auto"/>
          <w:sz w:val="32"/>
          <w:szCs w:val="32"/>
        </w:rPr>
        <w:t>目标</w:t>
      </w:r>
      <w:r>
        <w:rPr>
          <w:rFonts w:hint="eastAsia" w:ascii="仿宋_GB2312" w:hAnsi="仿宋" w:eastAsia="仿宋_GB2312"/>
          <w:color w:val="auto"/>
          <w:sz w:val="32"/>
          <w:szCs w:val="32"/>
          <w:lang w:val="en-US" w:eastAsia="zh-CN"/>
        </w:rPr>
        <w:t>4</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六圩停车场改建</w:t>
      </w:r>
      <w:r>
        <w:rPr>
          <w:rFonts w:hint="eastAsia" w:ascii="仿宋_GB2312" w:hAnsi="仿宋" w:eastAsia="仿宋_GB2312"/>
          <w:color w:val="auto"/>
          <w:sz w:val="32"/>
          <w:szCs w:val="32"/>
          <w:lang w:val="en-US" w:eastAsia="zh-CN"/>
        </w:rPr>
        <w:t>。</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95</w:t>
      </w:r>
      <w:r>
        <w:rPr>
          <w:rFonts w:hint="eastAsia" w:ascii="仿宋_GB2312" w:hAnsi="仿宋" w:eastAsia="仿宋_GB2312"/>
          <w:color w:val="auto"/>
          <w:sz w:val="32"/>
          <w:szCs w:val="32"/>
        </w:rPr>
        <w:t>分，评价等级为1等级，达到预期绩效目标。</w:t>
      </w:r>
    </w:p>
    <w:p>
      <w:pPr>
        <w:snapToGrid w:val="0"/>
        <w:spacing w:line="520" w:lineRule="exact"/>
        <w:ind w:left="640"/>
        <w:rPr>
          <w:rFonts w:hint="eastAsia" w:ascii="仿宋_GB2312" w:hAnsi="仿宋" w:eastAsia="仿宋_GB2312"/>
          <w:color w:val="auto"/>
          <w:sz w:val="32"/>
          <w:szCs w:val="32"/>
        </w:rPr>
      </w:pPr>
      <w:r>
        <w:rPr>
          <w:rFonts w:hint="eastAsia" w:ascii="仿宋_GB2312" w:eastAsia="仿宋_GB2312"/>
          <w:color w:val="auto"/>
          <w:sz w:val="30"/>
          <w:szCs w:val="30"/>
        </w:rPr>
        <w:t>（2）公益性和非公益性岗位人员工资、社会保险费</w:t>
      </w:r>
      <w:r>
        <w:rPr>
          <w:rFonts w:hint="eastAsia" w:ascii="创艺简标宋" w:eastAsia="创艺简标宋"/>
          <w:bCs/>
          <w:color w:val="auto"/>
          <w:sz w:val="30"/>
          <w:szCs w:val="30"/>
        </w:rPr>
        <w:t xml:space="preserve"> </w:t>
      </w:r>
    </w:p>
    <w:p>
      <w:pPr>
        <w:spacing w:line="560" w:lineRule="exact"/>
        <w:ind w:firstLine="640" w:firstLineChars="200"/>
        <w:rPr>
          <w:rFonts w:hint="eastAsia" w:ascii="宋体" w:hAnsi="宋体"/>
          <w:b/>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年财政预算拨款</w:t>
      </w:r>
      <w:r>
        <w:rPr>
          <w:rFonts w:hint="eastAsia" w:ascii="仿宋_GB2312" w:eastAsia="仿宋_GB2312"/>
          <w:color w:val="auto"/>
          <w:sz w:val="30"/>
          <w:szCs w:val="30"/>
        </w:rPr>
        <w:t>非公益性岗位人员工资</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6万元、公益性和非公益性岗位人员社会保险费</w:t>
      </w:r>
      <w:r>
        <w:rPr>
          <w:rFonts w:hint="eastAsia" w:ascii="仿宋_GB2312" w:eastAsia="仿宋_GB2312"/>
          <w:color w:val="auto"/>
          <w:sz w:val="30"/>
          <w:szCs w:val="30"/>
          <w:lang w:val="en-US" w:eastAsia="zh-CN"/>
        </w:rPr>
        <w:t>47</w:t>
      </w:r>
      <w:r>
        <w:rPr>
          <w:rFonts w:hint="eastAsia" w:ascii="仿宋_GB2312" w:eastAsia="仿宋_GB2312"/>
          <w:color w:val="auto"/>
          <w:sz w:val="32"/>
          <w:szCs w:val="32"/>
        </w:rPr>
        <w:t>万元，总计</w:t>
      </w:r>
      <w:r>
        <w:rPr>
          <w:rFonts w:hint="eastAsia" w:ascii="仿宋_GB2312" w:eastAsia="仿宋_GB2312"/>
          <w:color w:val="auto"/>
          <w:sz w:val="32"/>
          <w:szCs w:val="32"/>
          <w:lang w:val="en-US" w:eastAsia="zh-CN"/>
        </w:rPr>
        <w:t>143</w:t>
      </w:r>
      <w:r>
        <w:rPr>
          <w:rFonts w:hint="eastAsia" w:ascii="仿宋_GB2312" w:eastAsia="仿宋_GB2312"/>
          <w:color w:val="auto"/>
          <w:sz w:val="32"/>
          <w:szCs w:val="32"/>
        </w:rPr>
        <w:t>万元</w:t>
      </w:r>
      <w:r>
        <w:rPr>
          <w:rFonts w:hint="eastAsia" w:ascii="仿宋_GB2312" w:eastAsia="仿宋_GB2312"/>
          <w:color w:val="auto"/>
          <w:sz w:val="32"/>
          <w:szCs w:val="32"/>
          <w:lang w:eastAsia="zh-CN"/>
        </w:rPr>
        <w:t>。</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日，实际到位资金</w:t>
      </w:r>
      <w:r>
        <w:rPr>
          <w:rFonts w:hint="eastAsia" w:ascii="仿宋_GB2312" w:eastAsia="仿宋_GB2312"/>
          <w:color w:val="auto"/>
          <w:sz w:val="32"/>
          <w:szCs w:val="32"/>
          <w:lang w:val="en-US" w:eastAsia="zh-CN"/>
        </w:rPr>
        <w:t>143</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实际支出</w:t>
      </w:r>
      <w:r>
        <w:rPr>
          <w:rFonts w:hint="eastAsia" w:ascii="仿宋_GB2312" w:eastAsia="仿宋_GB2312"/>
          <w:color w:val="auto"/>
          <w:sz w:val="32"/>
          <w:szCs w:val="32"/>
          <w:lang w:val="en-US" w:eastAsia="zh-CN"/>
        </w:rPr>
        <w:t>143</w:t>
      </w:r>
      <w:r>
        <w:rPr>
          <w:rFonts w:hint="eastAsia" w:ascii="仿宋_GB2312" w:eastAsia="仿宋_GB2312"/>
          <w:color w:val="auto"/>
          <w:sz w:val="32"/>
          <w:szCs w:val="32"/>
        </w:rPr>
        <w:t>万元，支出进度</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目标1：完成非公益岗位人员工资、津贴的发放。</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目标2：按相关政策计算、缴纳聘用人员五险一金。</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分，评价等级为1等级，达到预期绩效目标。</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（3）环卫一线工人节假日加班费、高温补贴项目</w:t>
      </w:r>
    </w:p>
    <w:p>
      <w:pPr>
        <w:ind w:firstLine="645"/>
        <w:rPr>
          <w:rFonts w:hint="eastAsia" w:ascii="仿宋_GB2312" w:eastAsia="仿宋_GB2312"/>
          <w:color w:val="auto"/>
          <w:sz w:val="32"/>
          <w:szCs w:val="32"/>
        </w:rPr>
      </w:pP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年财政预算拨款</w:t>
      </w:r>
      <w:r>
        <w:rPr>
          <w:rFonts w:hint="eastAsia" w:ascii="仿宋_GB2312" w:eastAsia="仿宋_GB2312"/>
          <w:color w:val="auto"/>
          <w:sz w:val="30"/>
          <w:szCs w:val="30"/>
        </w:rPr>
        <w:t>环卫一线工人节假日加班费150万元、高温补贴</w:t>
      </w:r>
      <w:r>
        <w:rPr>
          <w:rFonts w:hint="eastAsia" w:ascii="仿宋_GB2312" w:hAnsi="仿宋" w:eastAsia="仿宋_GB2312"/>
          <w:color w:val="auto"/>
          <w:sz w:val="32"/>
          <w:szCs w:val="32"/>
          <w:lang w:val="en-US" w:eastAsia="zh-CN"/>
        </w:rPr>
        <w:t>30</w:t>
      </w:r>
      <w:r>
        <w:rPr>
          <w:rFonts w:hint="eastAsia" w:ascii="仿宋_GB2312" w:eastAsia="仿宋_GB2312"/>
          <w:color w:val="auto"/>
          <w:sz w:val="32"/>
          <w:szCs w:val="32"/>
        </w:rPr>
        <w:t>万元，</w:t>
      </w:r>
      <w:r>
        <w:rPr>
          <w:rFonts w:hint="eastAsia" w:ascii="仿宋_GB2312" w:eastAsia="仿宋_GB2312"/>
          <w:color w:val="auto"/>
          <w:sz w:val="32"/>
          <w:szCs w:val="32"/>
          <w:lang w:eastAsia="zh-CN"/>
        </w:rPr>
        <w:t>合</w:t>
      </w:r>
      <w:r>
        <w:rPr>
          <w:rFonts w:hint="eastAsia" w:ascii="仿宋_GB2312" w:eastAsia="仿宋_GB2312"/>
          <w:color w:val="auto"/>
          <w:sz w:val="32"/>
          <w:szCs w:val="32"/>
        </w:rPr>
        <w:t>计1</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万元，实际到位资金1</w:t>
      </w:r>
      <w:r>
        <w:rPr>
          <w:rFonts w:hint="eastAsia" w:ascii="仿宋_GB2312" w:eastAsia="仿宋_GB2312"/>
          <w:color w:val="auto"/>
          <w:sz w:val="32"/>
          <w:szCs w:val="32"/>
          <w:lang w:val="en-US" w:eastAsia="zh-CN"/>
        </w:rPr>
        <w:t>80</w:t>
      </w:r>
      <w:r>
        <w:rPr>
          <w:rFonts w:hint="eastAsia" w:ascii="仿宋_GB2312" w:eastAsia="仿宋_GB2312"/>
          <w:color w:val="auto"/>
          <w:sz w:val="32"/>
          <w:szCs w:val="32"/>
        </w:rPr>
        <w:t>万元（其中：</w:t>
      </w:r>
      <w:r>
        <w:rPr>
          <w:rFonts w:hint="eastAsia" w:ascii="仿宋_GB2312" w:eastAsia="仿宋_GB2312"/>
          <w:color w:val="auto"/>
          <w:sz w:val="30"/>
          <w:szCs w:val="30"/>
        </w:rPr>
        <w:t>节假日加班费150万元、高温补贴</w:t>
      </w:r>
      <w:r>
        <w:rPr>
          <w:rFonts w:hint="eastAsia" w:ascii="仿宋_GB2312" w:hAnsi="仿宋" w:eastAsia="仿宋_GB2312"/>
          <w:color w:val="auto"/>
          <w:sz w:val="32"/>
          <w:szCs w:val="32"/>
          <w:lang w:val="en-US" w:eastAsia="zh-CN"/>
        </w:rPr>
        <w:t>30</w:t>
      </w:r>
      <w:r>
        <w:rPr>
          <w:rFonts w:hint="eastAsia" w:ascii="仿宋_GB2312" w:eastAsia="仿宋_GB2312"/>
          <w:color w:val="auto"/>
          <w:sz w:val="32"/>
          <w:szCs w:val="32"/>
        </w:rPr>
        <w:t>万元），资金到位率100%</w:t>
      </w:r>
      <w:r>
        <w:rPr>
          <w:rFonts w:hint="eastAsia" w:ascii="仿宋_GB2312" w:eastAsia="仿宋_GB2312"/>
          <w:color w:val="auto"/>
          <w:sz w:val="32"/>
          <w:szCs w:val="32"/>
          <w:lang w:eastAsia="zh-CN"/>
        </w:rPr>
        <w:t>，实际支出</w:t>
      </w:r>
      <w:r>
        <w:rPr>
          <w:rFonts w:hint="eastAsia" w:ascii="仿宋_GB2312" w:eastAsia="仿宋_GB2312"/>
          <w:color w:val="auto"/>
          <w:sz w:val="32"/>
          <w:szCs w:val="32"/>
          <w:lang w:val="en-US" w:eastAsia="zh-CN"/>
        </w:rPr>
        <w:t>180万元，</w:t>
      </w:r>
      <w:r>
        <w:rPr>
          <w:rFonts w:hint="eastAsia" w:ascii="仿宋_GB2312" w:eastAsia="仿宋_GB2312"/>
          <w:color w:val="auto"/>
          <w:sz w:val="32"/>
          <w:szCs w:val="32"/>
        </w:rPr>
        <w:t>。</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目标1：安排好聘用人员节假日值班加班保洁、清运工作，保证节假日垃圾日产日清，给市民打造舒适清洁的环境。</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 xml:space="preserve">目标2：按相关政策计算发放(6-10月)高温补贴。  </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分，评价等级为1等级，达到预期绩效目标。</w:t>
      </w:r>
    </w:p>
    <w:p>
      <w:pPr>
        <w:numPr>
          <w:ilvl w:val="0"/>
          <w:numId w:val="4"/>
        </w:numPr>
        <w:spacing w:line="560" w:lineRule="exact"/>
        <w:ind w:firstLine="600" w:firstLineChars="200"/>
        <w:rPr>
          <w:rFonts w:hint="eastAsia" w:ascii="仿宋_GB2312" w:eastAsia="仿宋_GB2312"/>
          <w:color w:val="auto"/>
          <w:sz w:val="30"/>
          <w:szCs w:val="30"/>
          <w:u w:val="none"/>
          <w:lang w:eastAsia="zh-CN"/>
        </w:rPr>
      </w:pPr>
      <w:r>
        <w:rPr>
          <w:rFonts w:hint="eastAsia" w:ascii="仿宋_GB2312" w:eastAsia="仿宋_GB2312"/>
          <w:color w:val="auto"/>
          <w:sz w:val="30"/>
          <w:szCs w:val="30"/>
          <w:u w:val="none"/>
        </w:rPr>
        <w:t>市容保洁员（公益性岗位）工作经费</w:t>
      </w:r>
      <w:r>
        <w:rPr>
          <w:rFonts w:hint="eastAsia" w:ascii="仿宋_GB2312" w:eastAsia="仿宋_GB2312"/>
          <w:color w:val="auto"/>
          <w:sz w:val="30"/>
          <w:szCs w:val="30"/>
          <w:u w:val="none"/>
          <w:lang w:eastAsia="zh-CN"/>
        </w:rPr>
        <w:t>项目</w:t>
      </w:r>
    </w:p>
    <w:p>
      <w:pPr>
        <w:spacing w:line="560" w:lineRule="exact"/>
        <w:ind w:firstLine="600" w:firstLineChars="200"/>
        <w:rPr>
          <w:rFonts w:hint="eastAsia" w:ascii="仿宋_GB2312" w:eastAsia="仿宋_GB2312"/>
          <w:color w:val="auto"/>
          <w:sz w:val="32"/>
          <w:szCs w:val="32"/>
        </w:rPr>
      </w:pPr>
      <w:r>
        <w:rPr>
          <w:rFonts w:hint="eastAsia" w:ascii="创艺简标宋" w:eastAsia="创艺简标宋"/>
          <w:bCs/>
          <w:color w:val="auto"/>
          <w:sz w:val="30"/>
          <w:szCs w:val="30"/>
          <w:u w:val="none"/>
        </w:rPr>
        <w:t xml:space="preserve"> </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年财政预算拨款</w:t>
      </w:r>
      <w:r>
        <w:rPr>
          <w:rFonts w:hint="eastAsia" w:ascii="仿宋" w:hAnsi="仿宋" w:eastAsia="仿宋" w:cs="方正大标宋简体"/>
          <w:bCs/>
          <w:color w:val="auto"/>
          <w:sz w:val="32"/>
          <w:szCs w:val="32"/>
        </w:rPr>
        <w:t>市容保洁员（公益性岗位）工作经费</w:t>
      </w:r>
      <w:r>
        <w:rPr>
          <w:rFonts w:hint="eastAsia" w:ascii="仿宋" w:hAnsi="仿宋" w:eastAsia="仿宋" w:cs="方正大标宋简体"/>
          <w:bCs/>
          <w:color w:val="auto"/>
          <w:sz w:val="32"/>
          <w:szCs w:val="32"/>
          <w:lang w:val="en-US" w:eastAsia="zh-CN"/>
        </w:rPr>
        <w:t>25.5</w:t>
      </w:r>
      <w:r>
        <w:rPr>
          <w:rFonts w:hint="eastAsia" w:ascii="仿宋_GB2312" w:eastAsia="仿宋_GB2312"/>
          <w:color w:val="auto"/>
          <w:sz w:val="32"/>
          <w:szCs w:val="32"/>
        </w:rPr>
        <w:t>万元，实际到位资金</w:t>
      </w:r>
      <w:r>
        <w:rPr>
          <w:rFonts w:hint="eastAsia" w:ascii="仿宋_GB2312" w:eastAsia="仿宋_GB2312"/>
          <w:color w:val="auto"/>
          <w:sz w:val="32"/>
          <w:szCs w:val="32"/>
          <w:lang w:val="en-US" w:eastAsia="zh-CN"/>
        </w:rPr>
        <w:t>25.5</w:t>
      </w:r>
      <w:r>
        <w:rPr>
          <w:rFonts w:hint="eastAsia" w:ascii="仿宋_GB2312" w:eastAsia="仿宋_GB2312"/>
          <w:color w:val="auto"/>
          <w:sz w:val="32"/>
          <w:szCs w:val="32"/>
        </w:rPr>
        <w:t>万元，</w:t>
      </w:r>
      <w:r>
        <w:rPr>
          <w:rFonts w:hint="eastAsia" w:ascii="仿宋_GB2312" w:eastAsia="仿宋_GB2312"/>
          <w:color w:val="auto"/>
          <w:sz w:val="32"/>
          <w:szCs w:val="32"/>
          <w:lang w:eastAsia="zh-CN"/>
        </w:rPr>
        <w:t>资金到位率</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截</w:t>
      </w:r>
      <w:r>
        <w:rPr>
          <w:rFonts w:hint="eastAsia" w:ascii="仿宋_GB2312" w:eastAsia="仿宋_GB2312"/>
          <w:color w:val="auto"/>
          <w:sz w:val="32"/>
          <w:szCs w:val="32"/>
          <w:lang w:eastAsia="zh-CN"/>
        </w:rPr>
        <w:t>止</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20</w:t>
      </w:r>
      <w:r>
        <w:rPr>
          <w:rFonts w:hint="eastAsia" w:ascii="仿宋_GB2312" w:eastAsia="仿宋_GB2312"/>
          <w:color w:val="auto"/>
          <w:sz w:val="32"/>
          <w:szCs w:val="32"/>
        </w:rPr>
        <w:t>年1</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31</w:t>
      </w:r>
      <w:r>
        <w:rPr>
          <w:rFonts w:hint="eastAsia" w:ascii="仿宋_GB2312" w:eastAsia="仿宋_GB2312"/>
          <w:color w:val="auto"/>
          <w:sz w:val="32"/>
          <w:szCs w:val="32"/>
        </w:rPr>
        <w:t>日，实际支出</w:t>
      </w:r>
      <w:r>
        <w:rPr>
          <w:rFonts w:hint="eastAsia" w:ascii="仿宋_GB2312" w:eastAsia="仿宋_GB2312"/>
          <w:color w:val="auto"/>
          <w:sz w:val="32"/>
          <w:szCs w:val="32"/>
          <w:lang w:val="en-US" w:eastAsia="zh-CN"/>
        </w:rPr>
        <w:t>25.5</w:t>
      </w:r>
      <w:r>
        <w:rPr>
          <w:rFonts w:hint="eastAsia" w:ascii="仿宋_GB2312" w:eastAsia="仿宋_GB2312"/>
          <w:color w:val="auto"/>
          <w:sz w:val="32"/>
          <w:szCs w:val="32"/>
        </w:rPr>
        <w:t>万元，支出进度</w:t>
      </w:r>
      <w:r>
        <w:rPr>
          <w:rFonts w:hint="eastAsia" w:ascii="仿宋_GB2312" w:eastAsia="仿宋_GB2312"/>
          <w:color w:val="auto"/>
          <w:sz w:val="32"/>
          <w:szCs w:val="32"/>
          <w:lang w:val="en-US" w:eastAsia="zh-CN"/>
        </w:rPr>
        <w:t>100</w:t>
      </w:r>
      <w:r>
        <w:rPr>
          <w:rFonts w:hint="eastAsia" w:ascii="仿宋_GB2312" w:eastAsia="仿宋_GB2312"/>
          <w:color w:val="auto"/>
          <w:sz w:val="32"/>
          <w:szCs w:val="32"/>
        </w:rPr>
        <w:t>%。</w:t>
      </w:r>
    </w:p>
    <w:p>
      <w:pPr>
        <w:ind w:firstLine="800" w:firstLineChars="250"/>
        <w:rPr>
          <w:rFonts w:hint="eastAsia" w:ascii="仿宋_GB2312" w:hAnsi="仿宋" w:eastAsia="仿宋_GB2312"/>
          <w:color w:val="auto"/>
          <w:sz w:val="32"/>
          <w:szCs w:val="32"/>
        </w:rPr>
      </w:pPr>
      <w:r>
        <w:rPr>
          <w:rFonts w:hint="eastAsia" w:ascii="仿宋_GB2312" w:hAnsi="仿宋" w:eastAsia="仿宋_GB2312"/>
          <w:color w:val="auto"/>
          <w:sz w:val="32"/>
          <w:szCs w:val="32"/>
        </w:rPr>
        <w:t>年初设定该项目的绩效目标：</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目标1：进行道路保洁、垃圾清理工作。</w:t>
      </w:r>
    </w:p>
    <w:p>
      <w:pPr>
        <w:spacing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本项目平均自评分为</w:t>
      </w:r>
      <w:r>
        <w:rPr>
          <w:rFonts w:hint="eastAsia" w:ascii="仿宋_GB2312" w:hAnsi="仿宋" w:eastAsia="仿宋_GB2312"/>
          <w:color w:val="auto"/>
          <w:sz w:val="32"/>
          <w:szCs w:val="32"/>
          <w:lang w:val="en-US" w:eastAsia="zh-CN"/>
        </w:rPr>
        <w:t>100</w:t>
      </w:r>
      <w:r>
        <w:rPr>
          <w:rFonts w:hint="eastAsia" w:ascii="仿宋_GB2312" w:hAnsi="仿宋" w:eastAsia="仿宋_GB2312"/>
          <w:color w:val="auto"/>
          <w:sz w:val="32"/>
          <w:szCs w:val="32"/>
        </w:rPr>
        <w:t>分，评价等级为1等级，达到预期绩效目标。</w:t>
      </w:r>
    </w:p>
    <w:p>
      <w:pPr>
        <w:snapToGrid w:val="0"/>
        <w:spacing w:line="520" w:lineRule="exact"/>
        <w:rPr>
          <w:rFonts w:hint="eastAsia" w:ascii="仿宋_GB2312" w:hAnsi="仿宋"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rPr>
        <w:t>2.概述本单位整体支出绩效目标实现情况。</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eastAsia="zh-CN"/>
        </w:rPr>
        <w:t>年度总体</w:t>
      </w:r>
      <w:r>
        <w:rPr>
          <w:rFonts w:hint="eastAsia" w:ascii="仿宋" w:hAnsi="仿宋" w:eastAsia="仿宋"/>
          <w:color w:val="auto"/>
          <w:sz w:val="32"/>
          <w:szCs w:val="32"/>
        </w:rPr>
        <w:t>目标1：城区道路清扫保洁、垃圾收集清运日产日清，保障城市干净整洁，给市民打造舒适清洁的居住环境。</w:t>
      </w:r>
    </w:p>
    <w:p>
      <w:pPr>
        <w:spacing w:line="560" w:lineRule="exact"/>
        <w:ind w:firstLine="640" w:firstLineChars="200"/>
        <w:jc w:val="left"/>
        <w:rPr>
          <w:rFonts w:hint="eastAsia" w:ascii="仿宋" w:hAnsi="仿宋" w:eastAsia="仿宋"/>
          <w:color w:val="auto"/>
          <w:sz w:val="32"/>
          <w:szCs w:val="32"/>
        </w:rPr>
      </w:pPr>
      <w:r>
        <w:rPr>
          <w:rFonts w:hint="eastAsia" w:ascii="仿宋" w:hAnsi="仿宋" w:eastAsia="仿宋"/>
          <w:color w:val="auto"/>
          <w:sz w:val="32"/>
          <w:szCs w:val="32"/>
          <w:lang w:eastAsia="zh-CN"/>
        </w:rPr>
        <w:t>年度总体</w:t>
      </w:r>
      <w:r>
        <w:rPr>
          <w:rFonts w:hint="eastAsia" w:ascii="仿宋" w:hAnsi="仿宋" w:eastAsia="仿宋"/>
          <w:color w:val="auto"/>
          <w:sz w:val="32"/>
          <w:szCs w:val="32"/>
        </w:rPr>
        <w:t>目标目标2：按照《城市和市容环境卫生条例》进行环境卫生监督和管理，按照河政函［2003］250号文件收取生活垃圾处理费、按合同收取国有资产（资源）租赁费，按车辆管理要求对生产和业务车辆进行日常修护，保证环卫事业正常运行。</w:t>
      </w:r>
    </w:p>
    <w:p>
      <w:pPr>
        <w:spacing w:line="560" w:lineRule="exact"/>
        <w:ind w:firstLine="640" w:firstLineChars="200"/>
        <w:jc w:val="left"/>
        <w:rPr>
          <w:rFonts w:hint="eastAsia" w:ascii="仿宋_GB2312" w:hAnsi="仿宋" w:eastAsia="仿宋_GB2312"/>
          <w:color w:val="auto"/>
          <w:sz w:val="32"/>
          <w:szCs w:val="32"/>
        </w:rPr>
      </w:pPr>
      <w:r>
        <w:rPr>
          <w:rFonts w:hint="eastAsia" w:ascii="仿宋" w:hAnsi="仿宋" w:eastAsia="仿宋"/>
          <w:color w:val="auto"/>
          <w:sz w:val="32"/>
          <w:szCs w:val="32"/>
          <w:lang w:val="en-US" w:eastAsia="zh-CN"/>
        </w:rPr>
        <w:t>2020年度</w:t>
      </w:r>
      <w:r>
        <w:rPr>
          <w:rFonts w:hint="eastAsia" w:ascii="仿宋" w:hAnsi="仿宋" w:eastAsia="仿宋"/>
          <w:color w:val="auto"/>
          <w:sz w:val="32"/>
          <w:szCs w:val="32"/>
        </w:rPr>
        <w:t>整体支出预算</w:t>
      </w:r>
      <w:r>
        <w:rPr>
          <w:rFonts w:hint="eastAsia" w:ascii="仿宋" w:hAnsi="仿宋" w:eastAsia="仿宋"/>
          <w:color w:val="auto"/>
          <w:sz w:val="32"/>
          <w:szCs w:val="32"/>
          <w:lang w:val="en-US" w:eastAsia="zh-CN"/>
        </w:rPr>
        <w:t>2938.96</w:t>
      </w:r>
      <w:r>
        <w:rPr>
          <w:rFonts w:hint="eastAsia" w:ascii="仿宋" w:hAnsi="仿宋" w:eastAsia="仿宋"/>
          <w:color w:val="auto"/>
          <w:sz w:val="32"/>
          <w:szCs w:val="32"/>
        </w:rPr>
        <w:t>万元，</w:t>
      </w:r>
      <w:r>
        <w:rPr>
          <w:rFonts w:hint="eastAsia" w:ascii="仿宋_GB2312" w:hAnsi="仿宋" w:eastAsia="仿宋_GB2312"/>
          <w:color w:val="auto"/>
          <w:sz w:val="32"/>
          <w:szCs w:val="32"/>
        </w:rPr>
        <w:t>达到预期绩效目标。</w:t>
      </w:r>
    </w:p>
    <w:p>
      <w:pPr>
        <w:snapToGrid w:val="0"/>
        <w:spacing w:line="520" w:lineRule="exact"/>
        <w:rPr>
          <w:rFonts w:hint="eastAsia" w:ascii="仿宋" w:hAnsi="仿宋" w:eastAsia="仿宋"/>
          <w:color w:val="auto"/>
          <w:sz w:val="32"/>
          <w:szCs w:val="32"/>
        </w:rPr>
      </w:pP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（五）当年预算执行及绩效管理中存在问题、原因及改进措施。</w:t>
      </w:r>
    </w:p>
    <w:p>
      <w:pPr>
        <w:snapToGrid w:val="0"/>
        <w:spacing w:line="520" w:lineRule="exact"/>
        <w:ind w:firstLine="640" w:firstLineChars="200"/>
        <w:rPr>
          <w:rFonts w:hint="eastAsia" w:ascii="黑体" w:hAnsi="黑体" w:eastAsia="黑体"/>
          <w:color w:val="auto"/>
          <w:sz w:val="32"/>
          <w:szCs w:val="32"/>
        </w:rPr>
      </w:pPr>
      <w:bookmarkStart w:id="4" w:name="YS060103"/>
      <w:r>
        <w:rPr>
          <w:rFonts w:hint="eastAsia" w:ascii="仿宋_GB2312" w:eastAsia="仿宋_GB2312"/>
          <w:color w:val="auto"/>
          <w:sz w:val="32"/>
          <w:szCs w:val="32"/>
        </w:rPr>
        <w:t>我</w:t>
      </w:r>
      <w:r>
        <w:rPr>
          <w:rFonts w:hint="eastAsia" w:ascii="仿宋_GB2312" w:eastAsia="仿宋_GB2312"/>
          <w:color w:val="auto"/>
          <w:sz w:val="32"/>
          <w:szCs w:val="32"/>
          <w:lang w:eastAsia="zh-CN"/>
        </w:rPr>
        <w:t>单位</w:t>
      </w:r>
      <w:r>
        <w:rPr>
          <w:rFonts w:hint="eastAsia" w:ascii="仿宋_GB2312" w:eastAsia="仿宋_GB2312"/>
          <w:color w:val="auto"/>
          <w:sz w:val="32"/>
          <w:szCs w:val="32"/>
        </w:rPr>
        <w:t>遵守国家法律法规，认真执行各项财务制度，</w:t>
      </w:r>
      <w:r>
        <w:rPr>
          <w:rFonts w:hint="eastAsia" w:ascii="仿宋_GB2312" w:eastAsia="仿宋_GB2312"/>
          <w:color w:val="auto"/>
          <w:sz w:val="32"/>
          <w:szCs w:val="32"/>
          <w:lang w:eastAsia="zh-CN"/>
        </w:rPr>
        <w:t>保证</w:t>
      </w:r>
      <w:r>
        <w:rPr>
          <w:rFonts w:hint="eastAsia" w:ascii="仿宋_GB2312" w:eastAsia="仿宋_GB2312"/>
          <w:color w:val="auto"/>
          <w:sz w:val="32"/>
          <w:szCs w:val="32"/>
        </w:rPr>
        <w:t>财政资金专款专用，各项项目支出都严格按预算要求执行，没有部门预算规定项目之外的支出。通过摸索，对于预算绩效运行监控工作有了一定的了解，但是仍然有所欠缺，对绩效分析较为浅显。我单位将尽快完善“预算编制有目标、预算执行有监控、预算完成有评价、评价结果有反馈、反馈结果有应用”的全过程预算绩效管理机制。</w:t>
      </w:r>
    </w:p>
    <w:p>
      <w:pPr>
        <w:snapToGrid w:val="0"/>
        <w:spacing w:line="520" w:lineRule="exact"/>
        <w:ind w:firstLine="640" w:firstLineChars="200"/>
        <w:rPr>
          <w:rFonts w:hint="eastAsia" w:ascii="黑体" w:hAnsi="黑体" w:eastAsia="黑体"/>
          <w:color w:val="auto"/>
          <w:sz w:val="32"/>
          <w:szCs w:val="32"/>
        </w:rPr>
      </w:pPr>
    </w:p>
    <w:p>
      <w:pPr>
        <w:snapToGrid w:val="0"/>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三、资产负债情况分析</w:t>
      </w:r>
    </w:p>
    <w:bookmarkEnd w:id="4"/>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年末单位资产、负债基本情况，与上年度对比情况，包括增减绝对值与幅度，增减变动主要原因。</w:t>
      </w:r>
    </w:p>
    <w:p>
      <w:pPr>
        <w:snapToGrid w:val="0"/>
        <w:spacing w:line="520" w:lineRule="exact"/>
        <w:ind w:firstLine="640" w:firstLineChars="200"/>
        <w:rPr>
          <w:rFonts w:hint="eastAsia" w:ascii="仿宋_GB2312" w:eastAsia="仿宋_GB2312"/>
          <w:color w:val="auto"/>
          <w:sz w:val="32"/>
          <w:szCs w:val="32"/>
          <w:lang w:val="en-US" w:eastAsia="zh-CN"/>
        </w:rPr>
      </w:pPr>
      <w:r>
        <w:rPr>
          <w:rFonts w:hint="eastAsia" w:ascii="仿宋_GB2312" w:eastAsia="仿宋_GB2312"/>
          <w:color w:val="auto"/>
          <w:sz w:val="32"/>
          <w:szCs w:val="32"/>
        </w:rPr>
        <w:t>年末资产</w:t>
      </w:r>
      <w:r>
        <w:rPr>
          <w:rFonts w:hint="eastAsia" w:ascii="仿宋_GB2312" w:eastAsia="仿宋_GB2312"/>
          <w:color w:val="auto"/>
          <w:sz w:val="32"/>
          <w:szCs w:val="32"/>
          <w:lang w:eastAsia="zh-CN"/>
        </w:rPr>
        <w:t>总</w:t>
      </w:r>
      <w:r>
        <w:rPr>
          <w:rFonts w:hint="eastAsia" w:ascii="仿宋_GB2312" w:eastAsia="仿宋_GB2312"/>
          <w:color w:val="auto"/>
          <w:sz w:val="32"/>
          <w:szCs w:val="32"/>
        </w:rPr>
        <w:t>计</w:t>
      </w:r>
      <w:r>
        <w:rPr>
          <w:rFonts w:hint="eastAsia" w:ascii="仿宋_GB2312" w:eastAsia="仿宋_GB2312"/>
          <w:color w:val="auto"/>
          <w:sz w:val="32"/>
          <w:szCs w:val="32"/>
          <w:lang w:val="en-US" w:eastAsia="zh-CN"/>
        </w:rPr>
        <w:t>1236.58</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w:t>
      </w:r>
      <w:r>
        <w:rPr>
          <w:rFonts w:hint="eastAsia" w:ascii="仿宋_GB2312" w:eastAsia="仿宋_GB2312"/>
          <w:color w:val="auto"/>
          <w:sz w:val="32"/>
          <w:szCs w:val="32"/>
        </w:rPr>
        <w:t>上年末</w:t>
      </w:r>
      <w:r>
        <w:rPr>
          <w:rFonts w:hint="eastAsia" w:ascii="仿宋_GB2312" w:eastAsia="仿宋_GB2312"/>
          <w:color w:val="auto"/>
          <w:sz w:val="32"/>
          <w:szCs w:val="32"/>
          <w:lang w:val="en-US" w:eastAsia="zh-CN"/>
        </w:rPr>
        <w:t>1390.31万元相比</w:t>
      </w:r>
      <w:r>
        <w:rPr>
          <w:rFonts w:hint="eastAsia" w:ascii="仿宋_GB2312" w:eastAsia="仿宋_GB2312"/>
          <w:color w:val="auto"/>
          <w:sz w:val="32"/>
          <w:szCs w:val="32"/>
        </w:rPr>
        <w:t>减少</w:t>
      </w:r>
      <w:r>
        <w:rPr>
          <w:rFonts w:hint="eastAsia" w:ascii="仿宋_GB2312" w:eastAsia="仿宋_GB2312"/>
          <w:color w:val="auto"/>
          <w:sz w:val="32"/>
          <w:szCs w:val="32"/>
          <w:lang w:val="en-US" w:eastAsia="zh-CN"/>
        </w:rPr>
        <w:t>153.73</w:t>
      </w:r>
      <w:r>
        <w:rPr>
          <w:rFonts w:hint="eastAsia" w:ascii="仿宋_GB2312" w:eastAsia="仿宋_GB2312"/>
          <w:color w:val="auto"/>
          <w:sz w:val="32"/>
          <w:szCs w:val="32"/>
        </w:rPr>
        <w:t>万元，同比下降</w:t>
      </w:r>
      <w:r>
        <w:rPr>
          <w:rFonts w:hint="eastAsia" w:ascii="仿宋_GB2312" w:eastAsia="仿宋_GB2312"/>
          <w:color w:val="auto"/>
          <w:sz w:val="32"/>
          <w:szCs w:val="32"/>
          <w:lang w:val="en-US" w:eastAsia="zh-CN"/>
        </w:rPr>
        <w:t>11.05</w:t>
      </w:r>
      <w:r>
        <w:rPr>
          <w:rFonts w:hint="eastAsia" w:ascii="仿宋_GB2312" w:eastAsia="仿宋_GB2312"/>
          <w:color w:val="auto"/>
          <w:sz w:val="32"/>
          <w:szCs w:val="32"/>
        </w:rPr>
        <w:t>%；年末负债</w:t>
      </w:r>
      <w:r>
        <w:rPr>
          <w:rFonts w:hint="eastAsia" w:ascii="仿宋_GB2312" w:eastAsia="仿宋_GB2312"/>
          <w:color w:val="auto"/>
          <w:sz w:val="32"/>
          <w:szCs w:val="32"/>
          <w:lang w:eastAsia="zh-CN"/>
        </w:rPr>
        <w:t>总</w:t>
      </w:r>
      <w:r>
        <w:rPr>
          <w:rFonts w:hint="eastAsia" w:ascii="仿宋_GB2312" w:eastAsia="仿宋_GB2312"/>
          <w:color w:val="auto"/>
          <w:sz w:val="32"/>
          <w:szCs w:val="32"/>
        </w:rPr>
        <w:t>计</w:t>
      </w:r>
      <w:r>
        <w:rPr>
          <w:rFonts w:hint="eastAsia" w:ascii="仿宋_GB2312" w:eastAsia="仿宋_GB2312"/>
          <w:color w:val="auto"/>
          <w:sz w:val="32"/>
          <w:szCs w:val="32"/>
          <w:lang w:val="en-US" w:eastAsia="zh-CN"/>
        </w:rPr>
        <w:t>137.94</w:t>
      </w:r>
      <w:r>
        <w:rPr>
          <w:rFonts w:hint="eastAsia" w:ascii="仿宋_GB2312" w:eastAsia="仿宋_GB2312"/>
          <w:color w:val="auto"/>
          <w:sz w:val="32"/>
          <w:szCs w:val="32"/>
        </w:rPr>
        <w:t>万元，</w:t>
      </w:r>
      <w:r>
        <w:rPr>
          <w:rFonts w:hint="eastAsia" w:ascii="仿宋_GB2312" w:eastAsia="仿宋_GB2312"/>
          <w:color w:val="auto"/>
          <w:sz w:val="32"/>
          <w:szCs w:val="32"/>
          <w:lang w:eastAsia="zh-CN"/>
        </w:rPr>
        <w:t>与</w:t>
      </w:r>
      <w:r>
        <w:rPr>
          <w:rFonts w:hint="eastAsia" w:ascii="仿宋_GB2312" w:eastAsia="仿宋_GB2312"/>
          <w:color w:val="auto"/>
          <w:sz w:val="32"/>
          <w:szCs w:val="32"/>
        </w:rPr>
        <w:t>上年末</w:t>
      </w:r>
      <w:r>
        <w:rPr>
          <w:rFonts w:hint="eastAsia" w:ascii="仿宋_GB2312" w:eastAsia="仿宋_GB2312"/>
          <w:color w:val="auto"/>
          <w:sz w:val="32"/>
          <w:szCs w:val="32"/>
          <w:lang w:val="en-US" w:eastAsia="zh-CN"/>
        </w:rPr>
        <w:t>223.28</w:t>
      </w:r>
      <w:r>
        <w:rPr>
          <w:rFonts w:hint="eastAsia" w:ascii="仿宋_GB2312" w:eastAsia="仿宋_GB2312"/>
          <w:color w:val="auto"/>
          <w:sz w:val="32"/>
          <w:szCs w:val="32"/>
        </w:rPr>
        <w:t>万元</w:t>
      </w:r>
      <w:r>
        <w:rPr>
          <w:rFonts w:hint="eastAsia" w:ascii="仿宋_GB2312" w:eastAsia="仿宋_GB2312"/>
          <w:color w:val="auto"/>
          <w:sz w:val="32"/>
          <w:szCs w:val="32"/>
          <w:lang w:eastAsia="zh-CN"/>
        </w:rPr>
        <w:t>相比减少</w:t>
      </w:r>
      <w:r>
        <w:rPr>
          <w:rFonts w:hint="eastAsia" w:ascii="仿宋_GB2312" w:eastAsia="仿宋_GB2312"/>
          <w:color w:val="auto"/>
          <w:sz w:val="32"/>
          <w:szCs w:val="32"/>
          <w:lang w:val="en-US" w:eastAsia="zh-CN"/>
        </w:rPr>
        <w:t>85.34</w:t>
      </w:r>
      <w:r>
        <w:rPr>
          <w:rFonts w:hint="eastAsia" w:ascii="仿宋_GB2312" w:eastAsia="仿宋_GB2312"/>
          <w:color w:val="auto"/>
          <w:sz w:val="32"/>
          <w:szCs w:val="32"/>
        </w:rPr>
        <w:t>万元，同比</w:t>
      </w:r>
      <w:r>
        <w:rPr>
          <w:rFonts w:hint="eastAsia" w:ascii="仿宋_GB2312" w:eastAsia="仿宋_GB2312"/>
          <w:color w:val="auto"/>
          <w:sz w:val="32"/>
          <w:szCs w:val="32"/>
          <w:lang w:eastAsia="zh-CN"/>
        </w:rPr>
        <w:t>减少</w:t>
      </w:r>
      <w:r>
        <w:rPr>
          <w:rFonts w:hint="eastAsia" w:ascii="仿宋_GB2312" w:eastAsia="仿宋_GB2312"/>
          <w:color w:val="auto"/>
          <w:sz w:val="32"/>
          <w:szCs w:val="32"/>
          <w:lang w:val="en-US" w:eastAsia="zh-CN"/>
        </w:rPr>
        <w:t>38.22</w:t>
      </w:r>
      <w:r>
        <w:rPr>
          <w:rFonts w:hint="eastAsia" w:ascii="仿宋_GB2312" w:eastAsia="仿宋_GB2312"/>
          <w:color w:val="auto"/>
          <w:sz w:val="32"/>
          <w:szCs w:val="32"/>
        </w:rPr>
        <w:t>%。</w:t>
      </w:r>
      <w:r>
        <w:rPr>
          <w:rFonts w:hint="eastAsia" w:ascii="仿宋_GB2312" w:eastAsia="仿宋_GB2312"/>
          <w:color w:val="auto"/>
          <w:sz w:val="32"/>
          <w:szCs w:val="32"/>
          <w:lang w:eastAsia="zh-CN"/>
        </w:rPr>
        <w:t>净资产总计</w:t>
      </w:r>
      <w:r>
        <w:rPr>
          <w:rFonts w:hint="eastAsia" w:ascii="仿宋_GB2312" w:eastAsia="仿宋_GB2312"/>
          <w:color w:val="auto"/>
          <w:sz w:val="32"/>
          <w:szCs w:val="32"/>
          <w:lang w:val="en-US" w:eastAsia="zh-CN"/>
        </w:rPr>
        <w:t>1092.01万元，与上年末1167.03万元相比减少75.02万元，同比下降6.43%。</w:t>
      </w:r>
    </w:p>
    <w:p>
      <w:pPr>
        <w:snapToGrid w:val="0"/>
        <w:spacing w:line="520" w:lineRule="exact"/>
        <w:ind w:firstLine="420" w:firstLineChars="200"/>
        <w:rPr>
          <w:rFonts w:hint="eastAsia" w:ascii="仿宋_GB2312" w:eastAsia="仿宋_GB2312"/>
          <w:color w:val="auto"/>
          <w:sz w:val="32"/>
          <w:szCs w:val="32"/>
          <w:lang w:val="en-US" w:eastAsia="zh-CN"/>
        </w:rPr>
      </w:pPr>
      <w:r>
        <w:rPr>
          <w:color w:val="auto"/>
        </w:rPr>
        <w:drawing>
          <wp:anchor distT="0" distB="0" distL="114300" distR="114300" simplePos="0" relativeHeight="251662336" behindDoc="0" locked="0" layoutInCell="1" allowOverlap="1">
            <wp:simplePos x="0" y="0"/>
            <wp:positionH relativeFrom="column">
              <wp:posOffset>385445</wp:posOffset>
            </wp:positionH>
            <wp:positionV relativeFrom="paragraph">
              <wp:posOffset>-8060055</wp:posOffset>
            </wp:positionV>
            <wp:extent cx="4572000" cy="2743200"/>
            <wp:effectExtent l="4445" t="4445" r="1460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snapToGrid w:val="0"/>
        <w:spacing w:line="240" w:lineRule="auto"/>
        <w:ind w:firstLine="640" w:firstLineChars="200"/>
        <w:rPr>
          <w:rFonts w:hint="eastAsia" w:ascii="仿宋_GB2312" w:hAnsi="仿宋" w:eastAsia="仿宋_GB2312"/>
          <w:color w:val="auto"/>
          <w:sz w:val="32"/>
          <w:szCs w:val="32"/>
          <w:lang w:val="en-US" w:eastAsia="zh-CN"/>
        </w:rPr>
      </w:pPr>
    </w:p>
    <w:p>
      <w:pPr>
        <w:snapToGrid w:val="0"/>
        <w:spacing w:line="520" w:lineRule="exact"/>
        <w:ind w:firstLine="643" w:firstLineChars="200"/>
        <w:rPr>
          <w:rFonts w:hint="eastAsia" w:ascii="楷体_GB2312" w:hAnsi="仿宋" w:eastAsia="楷体_GB2312"/>
          <w:b/>
          <w:color w:val="auto"/>
          <w:sz w:val="32"/>
          <w:szCs w:val="32"/>
        </w:rPr>
      </w:pPr>
    </w:p>
    <w:p>
      <w:pPr>
        <w:snapToGrid w:val="0"/>
        <w:spacing w:line="520" w:lineRule="exact"/>
        <w:ind w:firstLine="420" w:firstLineChars="200"/>
        <w:rPr>
          <w:rFonts w:hint="eastAsia" w:ascii="楷体_GB2312" w:hAnsi="仿宋" w:eastAsia="楷体_GB2312"/>
          <w:b/>
          <w:color w:val="auto"/>
          <w:sz w:val="32"/>
          <w:szCs w:val="32"/>
        </w:rPr>
      </w:pPr>
      <w:r>
        <w:rPr>
          <w:color w:val="auto"/>
        </w:rPr>
        <w:drawing>
          <wp:anchor distT="0" distB="0" distL="114300" distR="114300" simplePos="0" relativeHeight="251661312" behindDoc="0" locked="0" layoutInCell="1" allowOverlap="1">
            <wp:simplePos x="0" y="0"/>
            <wp:positionH relativeFrom="column">
              <wp:posOffset>33020</wp:posOffset>
            </wp:positionH>
            <wp:positionV relativeFrom="paragraph">
              <wp:posOffset>3886835</wp:posOffset>
            </wp:positionV>
            <wp:extent cx="4239260" cy="2639060"/>
            <wp:effectExtent l="4445" t="4445" r="23495" b="23495"/>
            <wp:wrapSquare wrapText="bothSides"/>
            <wp:docPr id="13"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楷体_GB2312" w:hAnsi="仿宋" w:eastAsia="楷体_GB2312"/>
          <w:b/>
          <w:color w:val="auto"/>
          <w:sz w:val="32"/>
          <w:szCs w:val="32"/>
        </w:rPr>
        <w:t>（一）资产负债结构情况。</w:t>
      </w:r>
    </w:p>
    <w:p>
      <w:pPr>
        <w:numPr>
          <w:ilvl w:val="0"/>
          <w:numId w:val="0"/>
        </w:numPr>
        <w:snapToGrid w:val="0"/>
        <w:spacing w:line="520" w:lineRule="exact"/>
        <w:rPr>
          <w:rFonts w:hint="eastAsia" w:ascii="仿宋_GB2312" w:hAnsi="仿宋" w:eastAsia="仿宋_GB2312"/>
          <w:color w:val="auto"/>
          <w:sz w:val="32"/>
          <w:szCs w:val="32"/>
          <w:lang w:val="en-US" w:eastAsia="zh-CN"/>
        </w:rPr>
      </w:pPr>
    </w:p>
    <w:p>
      <w:pPr>
        <w:numPr>
          <w:ilvl w:val="0"/>
          <w:numId w:val="5"/>
        </w:num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资产结构情况</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年末资产</w:t>
      </w:r>
      <w:r>
        <w:rPr>
          <w:rFonts w:hint="eastAsia" w:ascii="仿宋_GB2312" w:hAnsi="仿宋" w:eastAsia="仿宋_GB2312"/>
          <w:color w:val="auto"/>
          <w:sz w:val="32"/>
          <w:szCs w:val="32"/>
          <w:lang w:eastAsia="zh-CN"/>
        </w:rPr>
        <w:t>合</w:t>
      </w:r>
      <w:r>
        <w:rPr>
          <w:rFonts w:hint="eastAsia" w:ascii="仿宋_GB2312" w:hAnsi="仿宋" w:eastAsia="仿宋_GB2312"/>
          <w:color w:val="auto"/>
          <w:sz w:val="32"/>
          <w:szCs w:val="32"/>
        </w:rPr>
        <w:t>计</w:t>
      </w:r>
      <w:r>
        <w:rPr>
          <w:rFonts w:hint="eastAsia" w:ascii="仿宋_GB2312" w:eastAsia="仿宋_GB2312"/>
          <w:color w:val="auto"/>
          <w:sz w:val="32"/>
          <w:szCs w:val="32"/>
          <w:lang w:val="en-US" w:eastAsia="zh-CN"/>
        </w:rPr>
        <w:t>1236.58</w:t>
      </w:r>
      <w:r>
        <w:rPr>
          <w:rFonts w:hint="eastAsia" w:ascii="仿宋_GB2312" w:hAnsi="仿宋" w:eastAsia="仿宋_GB2312"/>
          <w:color w:val="auto"/>
          <w:sz w:val="32"/>
          <w:szCs w:val="32"/>
        </w:rPr>
        <w:t>万元，</w:t>
      </w:r>
      <w:r>
        <w:rPr>
          <w:rFonts w:hint="eastAsia" w:ascii="仿宋_GB2312" w:hAnsi="仿宋" w:eastAsia="仿宋_GB2312"/>
          <w:color w:val="auto"/>
          <w:sz w:val="32"/>
          <w:szCs w:val="32"/>
          <w:lang w:eastAsia="zh-CN"/>
        </w:rPr>
        <w:t>比上年</w:t>
      </w:r>
      <w:r>
        <w:rPr>
          <w:rFonts w:hint="eastAsia" w:ascii="仿宋_GB2312" w:hAnsi="仿宋" w:eastAsia="仿宋_GB2312"/>
          <w:color w:val="auto"/>
          <w:sz w:val="32"/>
          <w:szCs w:val="32"/>
        </w:rPr>
        <w:t>下降</w:t>
      </w:r>
      <w:r>
        <w:rPr>
          <w:rFonts w:hint="eastAsia" w:ascii="仿宋_GB2312" w:hAnsi="仿宋" w:eastAsia="仿宋_GB2312"/>
          <w:color w:val="auto"/>
          <w:sz w:val="32"/>
          <w:szCs w:val="32"/>
          <w:lang w:val="en-US" w:eastAsia="zh-CN"/>
        </w:rPr>
        <w:t>11.06</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。（详见下表）</w:t>
      </w:r>
    </w:p>
    <w:tbl>
      <w:tblPr>
        <w:tblStyle w:val="8"/>
        <w:tblpPr w:leftFromText="180" w:rightFromText="180" w:vertAnchor="text" w:horzAnchor="page" w:tblpX="1477" w:tblpY="-4685"/>
        <w:tblOverlap w:val="never"/>
        <w:tblW w:w="10050" w:type="dxa"/>
        <w:tblInd w:w="0" w:type="dxa"/>
        <w:tblLayout w:type="fixed"/>
        <w:tblCellMar>
          <w:top w:w="0" w:type="dxa"/>
          <w:left w:w="0" w:type="dxa"/>
          <w:bottom w:w="0" w:type="dxa"/>
          <w:right w:w="0" w:type="dxa"/>
        </w:tblCellMar>
      </w:tblPr>
      <w:tblGrid>
        <w:gridCol w:w="855"/>
        <w:gridCol w:w="645"/>
        <w:gridCol w:w="744"/>
        <w:gridCol w:w="606"/>
        <w:gridCol w:w="630"/>
        <w:gridCol w:w="690"/>
        <w:gridCol w:w="615"/>
        <w:gridCol w:w="825"/>
        <w:gridCol w:w="660"/>
        <w:gridCol w:w="615"/>
        <w:gridCol w:w="555"/>
        <w:gridCol w:w="720"/>
        <w:gridCol w:w="585"/>
        <w:gridCol w:w="600"/>
        <w:gridCol w:w="705"/>
      </w:tblGrid>
      <w:tr>
        <w:tblPrEx>
          <w:tblCellMar>
            <w:top w:w="0" w:type="dxa"/>
            <w:left w:w="0" w:type="dxa"/>
            <w:bottom w:w="0" w:type="dxa"/>
            <w:right w:w="0" w:type="dxa"/>
          </w:tblCellMar>
        </w:tblPrEx>
        <w:trPr>
          <w:trHeight w:val="255" w:hRule="atLeast"/>
        </w:trPr>
        <w:tc>
          <w:tcPr>
            <w:tcW w:w="10050" w:type="dxa"/>
            <w:gridSpan w:val="15"/>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auto"/>
                <w:kern w:val="0"/>
                <w:sz w:val="20"/>
                <w:szCs w:val="20"/>
                <w:u w:val="none"/>
                <w:lang w:val="en-US" w:eastAsia="zh-CN" w:bidi="ar"/>
              </w:rPr>
            </w:pPr>
          </w:p>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金额单位：万元</w:t>
            </w:r>
          </w:p>
        </w:tc>
      </w:tr>
      <w:tr>
        <w:tblPrEx>
          <w:tblCellMar>
            <w:top w:w="0" w:type="dxa"/>
            <w:left w:w="0" w:type="dxa"/>
            <w:bottom w:w="0" w:type="dxa"/>
            <w:right w:w="0" w:type="dxa"/>
          </w:tblCellMar>
        </w:tblPrEx>
        <w:trPr>
          <w:trHeight w:val="308" w:hRule="atLeast"/>
        </w:trPr>
        <w:tc>
          <w:tcPr>
            <w:tcW w:w="10050" w:type="dxa"/>
            <w:gridSpan w:val="15"/>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  产</w:t>
            </w:r>
          </w:p>
        </w:tc>
      </w:tr>
      <w:tr>
        <w:tblPrEx>
          <w:tblCellMar>
            <w:top w:w="0" w:type="dxa"/>
            <w:left w:w="0" w:type="dxa"/>
            <w:bottom w:w="0" w:type="dxa"/>
            <w:right w:w="0" w:type="dxa"/>
          </w:tblCellMar>
        </w:tblPrEx>
        <w:trPr>
          <w:trHeight w:val="308" w:hRule="atLeast"/>
        </w:trPr>
        <w:tc>
          <w:tcPr>
            <w:tcW w:w="8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64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8550" w:type="dxa"/>
            <w:gridSpan w:val="13"/>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r>
      <w:tr>
        <w:tblPrEx>
          <w:tblCellMar>
            <w:top w:w="0" w:type="dxa"/>
            <w:left w:w="0" w:type="dxa"/>
            <w:bottom w:w="0" w:type="dxa"/>
            <w:right w:w="0" w:type="dxa"/>
          </w:tblCellMar>
        </w:tblPrEx>
        <w:trPr>
          <w:trHeight w:val="308" w:hRule="atLeast"/>
        </w:trPr>
        <w:tc>
          <w:tcPr>
            <w:tcW w:w="8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4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4770" w:type="dxa"/>
            <w:gridSpan w:val="7"/>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固定资产</w:t>
            </w:r>
          </w:p>
        </w:tc>
        <w:tc>
          <w:tcPr>
            <w:tcW w:w="3780"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应收类往来款</w:t>
            </w:r>
          </w:p>
        </w:tc>
      </w:tr>
      <w:tr>
        <w:tblPrEx>
          <w:tblCellMar>
            <w:top w:w="0" w:type="dxa"/>
            <w:left w:w="0" w:type="dxa"/>
            <w:bottom w:w="0" w:type="dxa"/>
            <w:right w:w="0" w:type="dxa"/>
          </w:tblCellMar>
        </w:tblPrEx>
        <w:trPr>
          <w:trHeight w:val="308" w:hRule="atLeast"/>
        </w:trPr>
        <w:tc>
          <w:tcPr>
            <w:tcW w:w="8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4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44"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606"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63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占资产总量%</w:t>
            </w:r>
          </w:p>
        </w:tc>
        <w:tc>
          <w:tcPr>
            <w:tcW w:w="279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55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261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r>
      <w:tr>
        <w:tblPrEx>
          <w:tblCellMar>
            <w:top w:w="0" w:type="dxa"/>
            <w:left w:w="0" w:type="dxa"/>
            <w:bottom w:w="0" w:type="dxa"/>
            <w:right w:w="0" w:type="dxa"/>
          </w:tblCellMar>
        </w:tblPrEx>
        <w:trPr>
          <w:trHeight w:val="308" w:hRule="atLeast"/>
        </w:trPr>
        <w:tc>
          <w:tcPr>
            <w:tcW w:w="8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4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44"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06"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9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房屋</w:t>
            </w:r>
          </w:p>
        </w:tc>
        <w:tc>
          <w:tcPr>
            <w:tcW w:w="61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82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车辆</w:t>
            </w:r>
          </w:p>
        </w:tc>
        <w:tc>
          <w:tcPr>
            <w:tcW w:w="66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2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应收和预付账款</w:t>
            </w:r>
          </w:p>
        </w:tc>
        <w:tc>
          <w:tcPr>
            <w:tcW w:w="58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6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其他应收款</w:t>
            </w:r>
          </w:p>
        </w:tc>
        <w:tc>
          <w:tcPr>
            <w:tcW w:w="70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r>
      <w:tr>
        <w:tblPrEx>
          <w:tblCellMar>
            <w:top w:w="0" w:type="dxa"/>
            <w:left w:w="0" w:type="dxa"/>
            <w:bottom w:w="0" w:type="dxa"/>
            <w:right w:w="0" w:type="dxa"/>
          </w:tblCellMar>
        </w:tblPrEx>
        <w:trPr>
          <w:trHeight w:val="840" w:hRule="atLeast"/>
        </w:trPr>
        <w:tc>
          <w:tcPr>
            <w:tcW w:w="8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4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44"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06"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9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2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6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1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55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2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58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0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8" w:hRule="atLeast"/>
        </w:trPr>
        <w:tc>
          <w:tcPr>
            <w:tcW w:w="85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w:t>
            </w:r>
          </w:p>
        </w:tc>
        <w:tc>
          <w:tcPr>
            <w:tcW w:w="64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w:t>
            </w:r>
          </w:p>
        </w:tc>
        <w:tc>
          <w:tcPr>
            <w:tcW w:w="744"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3</w:t>
            </w:r>
          </w:p>
        </w:tc>
        <w:tc>
          <w:tcPr>
            <w:tcW w:w="606"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4</w:t>
            </w:r>
          </w:p>
        </w:tc>
        <w:tc>
          <w:tcPr>
            <w:tcW w:w="63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5</w:t>
            </w:r>
          </w:p>
        </w:tc>
        <w:tc>
          <w:tcPr>
            <w:tcW w:w="69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6</w:t>
            </w:r>
          </w:p>
        </w:tc>
        <w:tc>
          <w:tcPr>
            <w:tcW w:w="61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7</w:t>
            </w:r>
          </w:p>
        </w:tc>
        <w:tc>
          <w:tcPr>
            <w:tcW w:w="82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9</w:t>
            </w:r>
          </w:p>
        </w:tc>
        <w:tc>
          <w:tcPr>
            <w:tcW w:w="66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10</w:t>
            </w:r>
          </w:p>
        </w:tc>
        <w:tc>
          <w:tcPr>
            <w:tcW w:w="61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12</w:t>
            </w:r>
          </w:p>
        </w:tc>
        <w:tc>
          <w:tcPr>
            <w:tcW w:w="55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13</w:t>
            </w:r>
          </w:p>
        </w:tc>
        <w:tc>
          <w:tcPr>
            <w:tcW w:w="72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14</w:t>
            </w:r>
          </w:p>
        </w:tc>
        <w:tc>
          <w:tcPr>
            <w:tcW w:w="58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15</w:t>
            </w:r>
          </w:p>
        </w:tc>
        <w:tc>
          <w:tcPr>
            <w:tcW w:w="60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16</w:t>
            </w:r>
          </w:p>
        </w:tc>
        <w:tc>
          <w:tcPr>
            <w:tcW w:w="70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17</w:t>
            </w:r>
          </w:p>
        </w:tc>
      </w:tr>
      <w:tr>
        <w:tblPrEx>
          <w:tblCellMar>
            <w:top w:w="0" w:type="dxa"/>
            <w:left w:w="0" w:type="dxa"/>
            <w:bottom w:w="0" w:type="dxa"/>
            <w:right w:w="0" w:type="dxa"/>
          </w:tblCellMar>
        </w:tblPrEx>
        <w:trPr>
          <w:trHeight w:val="500" w:hRule="atLeast"/>
        </w:trPr>
        <w:tc>
          <w:tcPr>
            <w:tcW w:w="8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sz w:val="18"/>
                <w:szCs w:val="18"/>
                <w:u w:val="none"/>
                <w:lang w:val="en-US" w:eastAsia="zh-CN"/>
              </w:rPr>
              <w:t>1236.58</w:t>
            </w:r>
          </w:p>
        </w:tc>
        <w:tc>
          <w:tcPr>
            <w:tcW w:w="64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-11.06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1025.21</w:t>
            </w:r>
          </w:p>
        </w:tc>
        <w:tc>
          <w:tcPr>
            <w:tcW w:w="606"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-4.86</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83.35</w:t>
            </w:r>
          </w:p>
        </w:tc>
        <w:tc>
          <w:tcPr>
            <w:tcW w:w="69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218.72</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-25.61</w:t>
            </w:r>
          </w:p>
        </w:tc>
        <w:tc>
          <w:tcPr>
            <w:tcW w:w="82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575.83</w:t>
            </w:r>
          </w:p>
        </w:tc>
        <w:tc>
          <w:tcPr>
            <w:tcW w:w="66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-8.45</w:t>
            </w:r>
          </w:p>
        </w:tc>
        <w:tc>
          <w:tcPr>
            <w:tcW w:w="61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1.67</w:t>
            </w:r>
          </w:p>
        </w:tc>
        <w:tc>
          <w:tcPr>
            <w:tcW w:w="55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cs="宋体"/>
                <w:i w:val="0"/>
                <w:color w:val="auto"/>
                <w:kern w:val="0"/>
                <w:sz w:val="18"/>
                <w:szCs w:val="18"/>
                <w:u w:val="none"/>
                <w:lang w:val="en-US" w:eastAsia="zh-CN" w:bidi="ar"/>
              </w:rPr>
              <w:t>0</w:t>
            </w:r>
          </w:p>
        </w:tc>
        <w:tc>
          <w:tcPr>
            <w:tcW w:w="72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58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6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1.67</w:t>
            </w:r>
          </w:p>
        </w:tc>
        <w:tc>
          <w:tcPr>
            <w:tcW w:w="70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0</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textAlignment w:val="auto"/>
        <w:rPr>
          <w:rFonts w:hint="eastAsia" w:ascii="仿宋_GB2312" w:hAnsi="仿宋" w:eastAsia="仿宋_GB2312"/>
          <w:color w:val="auto"/>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lang w:val="en-US" w:eastAsia="zh-CN"/>
        </w:rPr>
        <w:t>1）</w:t>
      </w:r>
      <w:r>
        <w:rPr>
          <w:rFonts w:hint="eastAsia" w:ascii="仿宋_GB2312" w:hAnsi="仿宋" w:eastAsia="仿宋_GB2312"/>
          <w:color w:val="auto"/>
          <w:sz w:val="32"/>
          <w:szCs w:val="32"/>
          <w:lang w:eastAsia="zh-CN"/>
        </w:rPr>
        <w:t>固定资产</w:t>
      </w:r>
      <w:r>
        <w:rPr>
          <w:rFonts w:hint="eastAsia" w:ascii="仿宋_GB2312" w:hAnsi="仿宋" w:eastAsia="仿宋_GB2312"/>
          <w:color w:val="auto"/>
          <w:sz w:val="32"/>
          <w:szCs w:val="32"/>
          <w:lang w:val="en-US" w:eastAsia="zh-CN"/>
        </w:rPr>
        <w:t>1025.21万元，比上年减少52.32万元，同比减少4.86%，占资产总量83.35%。其中：房屋净值218.72万元，比上年减少75.28万元，同比下降25.61%；本年度汽车净值575.83万元，上年度629万元，同比减少53.19万元，下降8.46%。</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变动原因：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eastAsia="zh-CN"/>
        </w:rPr>
        <w:t>①</w:t>
      </w:r>
      <w:r>
        <w:rPr>
          <w:rFonts w:hint="eastAsia" w:ascii="Calibri" w:hAnsi="Calibri" w:eastAsia="仿宋_GB2312" w:cs="Calibri"/>
          <w:color w:val="auto"/>
          <w:sz w:val="32"/>
          <w:szCs w:val="32"/>
          <w:lang w:eastAsia="zh-CN"/>
        </w:rPr>
        <w:t>固定资产计提折旧。</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default" w:ascii="Calibri" w:hAnsi="Calibri" w:eastAsia="仿宋_GB2312" w:cs="Calibri"/>
          <w:color w:val="auto"/>
          <w:sz w:val="32"/>
          <w:szCs w:val="32"/>
          <w:lang w:val="en-US" w:eastAsia="zh-CN"/>
        </w:rPr>
        <w:t>②</w:t>
      </w:r>
      <w:r>
        <w:rPr>
          <w:rFonts w:hint="eastAsia" w:ascii="Calibri" w:hAnsi="Calibri" w:eastAsia="仿宋_GB2312" w:cs="Calibri"/>
          <w:color w:val="auto"/>
          <w:sz w:val="32"/>
          <w:szCs w:val="32"/>
          <w:lang w:eastAsia="zh-CN"/>
        </w:rPr>
        <w:t>新购勾臂式垃圾车</w:t>
      </w:r>
      <w:r>
        <w:rPr>
          <w:rFonts w:hint="eastAsia" w:ascii="Calibri" w:hAnsi="Calibri" w:eastAsia="仿宋_GB2312" w:cs="Calibri"/>
          <w:color w:val="auto"/>
          <w:sz w:val="32"/>
          <w:szCs w:val="32"/>
          <w:lang w:val="en-US" w:eastAsia="zh-CN"/>
        </w:rPr>
        <w:t>7台</w:t>
      </w:r>
      <w:r>
        <w:rPr>
          <w:rFonts w:hint="eastAsia" w:ascii="Calibri" w:hAnsi="Calibri" w:eastAsia="仿宋_GB2312" w:cs="Calibri"/>
          <w:color w:val="auto"/>
          <w:sz w:val="32"/>
          <w:szCs w:val="32"/>
          <w:lang w:eastAsia="zh-CN"/>
        </w:rPr>
        <w:t>；新购电动三轮保洁车</w:t>
      </w:r>
      <w:r>
        <w:rPr>
          <w:rFonts w:hint="eastAsia" w:ascii="Calibri" w:hAnsi="Calibri" w:eastAsia="仿宋_GB2312" w:cs="Calibri"/>
          <w:color w:val="auto"/>
          <w:sz w:val="32"/>
          <w:szCs w:val="32"/>
          <w:lang w:val="en-US" w:eastAsia="zh-CN"/>
        </w:rPr>
        <w:t>9辆、大件垃圾清运电动三轮车1辆；新购人力三轮车32辆；铁路移交压缩式垃圾车1台。</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val="en-US" w:eastAsia="zh-CN"/>
        </w:rPr>
        <w:t>③</w:t>
      </w:r>
      <w:r>
        <w:rPr>
          <w:rFonts w:hint="eastAsia" w:ascii="Calibri" w:hAnsi="Calibri" w:eastAsia="仿宋_GB2312" w:cs="Calibri"/>
          <w:color w:val="auto"/>
          <w:sz w:val="32"/>
          <w:szCs w:val="32"/>
          <w:lang w:val="en-US" w:eastAsia="zh-CN"/>
        </w:rPr>
        <w:t>新购勾臂式垃圾车专用箱15个、垃圾大桶6个。</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val="en-US" w:eastAsia="zh-CN"/>
        </w:rPr>
        <w:t>④</w:t>
      </w:r>
      <w:r>
        <w:rPr>
          <w:rFonts w:hint="eastAsia" w:ascii="Calibri" w:hAnsi="Calibri" w:eastAsia="仿宋_GB2312" w:cs="Calibri"/>
          <w:color w:val="auto"/>
          <w:sz w:val="32"/>
          <w:szCs w:val="32"/>
          <w:lang w:val="en-US" w:eastAsia="zh-CN"/>
        </w:rPr>
        <w:t>新购办公电脑1台、黑白打印机1台、彩色打印机1台、办公桌2张、13组五节文件柜、3组二斗文件柜、3张办公椅、2台空调。</w:t>
      </w:r>
    </w:p>
    <w:p>
      <w:pPr>
        <w:keepNext w:val="0"/>
        <w:keepLines w:val="0"/>
        <w:pageBreakBefore w:val="0"/>
        <w:widowControl w:val="0"/>
        <w:numPr>
          <w:ilvl w:val="0"/>
          <w:numId w:val="6"/>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Calibri" w:hAnsi="Calibri" w:eastAsia="仿宋_GB2312" w:cs="Calibri"/>
          <w:color w:val="auto"/>
          <w:sz w:val="32"/>
          <w:szCs w:val="32"/>
          <w:lang w:val="en-US" w:eastAsia="zh-CN"/>
        </w:rPr>
        <w:t>流动资产204.74万元，比上年减少108.04万元，同比下降34.54%，</w:t>
      </w:r>
      <w:r>
        <w:rPr>
          <w:rFonts w:hint="eastAsia" w:ascii="仿宋_GB2312" w:hAnsi="仿宋" w:eastAsia="仿宋_GB2312"/>
          <w:color w:val="auto"/>
          <w:sz w:val="32"/>
          <w:szCs w:val="32"/>
          <w:lang w:val="en-US" w:eastAsia="zh-CN"/>
        </w:rPr>
        <w:t>占资产总量16.65%。</w:t>
      </w:r>
      <w:r>
        <w:rPr>
          <w:rFonts w:hint="eastAsia" w:ascii="Calibri" w:hAnsi="Calibri" w:eastAsia="仿宋_GB2312" w:cs="Calibri"/>
          <w:color w:val="auto"/>
          <w:sz w:val="32"/>
          <w:szCs w:val="32"/>
          <w:lang w:val="en-US" w:eastAsia="zh-CN"/>
        </w:rPr>
        <w:t>其中：</w:t>
      </w:r>
      <w:r>
        <w:rPr>
          <w:rFonts w:hint="eastAsia" w:ascii="仿宋_GB2312" w:hAnsi="仿宋" w:eastAsia="仿宋_GB2312"/>
          <w:color w:val="auto"/>
          <w:sz w:val="32"/>
          <w:szCs w:val="32"/>
          <w:lang w:val="en-US" w:eastAsia="zh-CN"/>
        </w:rPr>
        <w:t>应收类往来款1.67万元，与上年持平，全部为其他应收款。</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主要变动原因：</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val="en-US" w:eastAsia="zh-CN"/>
        </w:rPr>
      </w:pPr>
      <w:r>
        <w:rPr>
          <w:rFonts w:hint="default" w:ascii="Calibri" w:hAnsi="Calibri" w:eastAsia="仿宋_GB2312" w:cs="Calibri"/>
          <w:color w:val="auto"/>
          <w:sz w:val="32"/>
          <w:szCs w:val="32"/>
          <w:lang w:eastAsia="zh-CN"/>
        </w:rPr>
        <w:t>①</w:t>
      </w:r>
      <w:r>
        <w:rPr>
          <w:rFonts w:hint="eastAsia" w:ascii="Calibri" w:hAnsi="Calibri" w:eastAsia="仿宋_GB2312" w:cs="Calibri"/>
          <w:color w:val="auto"/>
          <w:sz w:val="32"/>
          <w:szCs w:val="32"/>
          <w:lang w:eastAsia="zh-CN"/>
        </w:rPr>
        <w:t>年末</w:t>
      </w:r>
      <w:r>
        <w:rPr>
          <w:rFonts w:hint="eastAsia" w:ascii="仿宋_GB2312" w:hAnsi="仿宋" w:eastAsia="仿宋_GB2312"/>
          <w:color w:val="auto"/>
          <w:sz w:val="32"/>
          <w:szCs w:val="32"/>
          <w:lang w:val="en-US" w:eastAsia="zh-CN"/>
        </w:rPr>
        <w:t>财政应返还额度42.5万元，比上年末减少15.17万。</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eastAsia"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val="en-US" w:eastAsia="zh-CN"/>
        </w:rPr>
        <w:t>②</w:t>
      </w:r>
      <w:r>
        <w:rPr>
          <w:rFonts w:hint="eastAsia" w:ascii="Calibri" w:hAnsi="Calibri" w:eastAsia="仿宋_GB2312" w:cs="Calibri"/>
          <w:color w:val="auto"/>
          <w:sz w:val="32"/>
          <w:szCs w:val="32"/>
          <w:lang w:val="en-US" w:eastAsia="zh-CN"/>
        </w:rPr>
        <w:t>年末存货18.76万元，比上年末减少2.89万元。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val="en-US" w:eastAsia="zh-CN"/>
        </w:rPr>
        <w:t>③</w:t>
      </w:r>
      <w:r>
        <w:rPr>
          <w:rFonts w:hint="eastAsia" w:ascii="Calibri" w:hAnsi="Calibri" w:eastAsia="仿宋_GB2312" w:cs="Calibri"/>
          <w:color w:val="auto"/>
          <w:sz w:val="32"/>
          <w:szCs w:val="32"/>
          <w:lang w:val="en-US" w:eastAsia="zh-CN"/>
        </w:rPr>
        <w:t>年末货币资金141.43万元，比上年末减少87.88万元。</w:t>
      </w:r>
    </w:p>
    <w:p>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Calibri" w:hAnsi="Calibri" w:eastAsia="仿宋_GB2312" w:cs="Calibri"/>
          <w:color w:val="auto"/>
          <w:sz w:val="32"/>
          <w:szCs w:val="32"/>
          <w:lang w:val="en-US" w:eastAsia="zh-CN"/>
        </w:rPr>
      </w:pPr>
      <w:r>
        <w:rPr>
          <w:rFonts w:hint="default" w:ascii="Calibri" w:hAnsi="Calibri" w:eastAsia="仿宋_GB2312" w:cs="Calibri"/>
          <w:color w:val="auto"/>
          <w:sz w:val="32"/>
          <w:szCs w:val="32"/>
          <w:lang w:val="en-US" w:eastAsia="zh-CN"/>
        </w:rPr>
        <w:t>④</w:t>
      </w:r>
      <w:r>
        <w:rPr>
          <w:rFonts w:hint="eastAsia" w:ascii="Calibri" w:hAnsi="Calibri" w:eastAsia="仿宋_GB2312" w:cs="Calibri"/>
          <w:color w:val="auto"/>
          <w:sz w:val="32"/>
          <w:szCs w:val="32"/>
          <w:lang w:val="en-US" w:eastAsia="zh-CN"/>
        </w:rPr>
        <w:t>年末待摊费用0.38万元，比上年末减少2.1万元。</w:t>
      </w:r>
    </w:p>
    <w:p>
      <w:pPr>
        <w:snapToGrid w:val="0"/>
        <w:spacing w:line="520" w:lineRule="exact"/>
        <w:ind w:firstLine="640" w:firstLineChars="200"/>
        <w:rPr>
          <w:rFonts w:hint="eastAsia" w:ascii="仿宋_GB2312" w:hAnsi="仿宋" w:eastAsia="仿宋_GB2312"/>
          <w:color w:val="auto"/>
          <w:sz w:val="32"/>
          <w:szCs w:val="32"/>
          <w:lang w:val="en-US" w:eastAsia="zh-CN"/>
        </w:rPr>
      </w:pPr>
      <w:r>
        <w:rPr>
          <w:rFonts w:hint="eastAsia" w:ascii="仿宋_GB2312" w:hAnsi="仿宋" w:eastAsia="仿宋_GB2312"/>
          <w:color w:val="auto"/>
          <w:sz w:val="32"/>
          <w:szCs w:val="32"/>
          <w:lang w:val="en-US" w:eastAsia="zh-CN"/>
        </w:rPr>
        <w:t>2、负债结构情况</w:t>
      </w:r>
    </w:p>
    <w:p>
      <w:p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lang w:val="en-US" w:eastAsia="zh-CN"/>
        </w:rPr>
        <w:t>年末负债合计137.94万元，</w:t>
      </w:r>
      <w:r>
        <w:rPr>
          <w:rFonts w:hint="eastAsia" w:ascii="仿宋_GB2312" w:hAnsi="仿宋" w:eastAsia="仿宋_GB2312"/>
          <w:color w:val="auto"/>
          <w:sz w:val="32"/>
          <w:szCs w:val="32"/>
          <w:lang w:eastAsia="zh-CN"/>
        </w:rPr>
        <w:t>比上年减少</w:t>
      </w:r>
      <w:r>
        <w:rPr>
          <w:rFonts w:hint="eastAsia" w:ascii="仿宋_GB2312" w:hAnsi="仿宋" w:eastAsia="仿宋_GB2312"/>
          <w:color w:val="auto"/>
          <w:sz w:val="32"/>
          <w:szCs w:val="32"/>
          <w:lang w:val="en-US" w:eastAsia="zh-CN"/>
        </w:rPr>
        <w:t>85.34万元，同比</w:t>
      </w:r>
      <w:r>
        <w:rPr>
          <w:rFonts w:hint="eastAsia" w:ascii="仿宋_GB2312" w:hAnsi="仿宋" w:eastAsia="仿宋_GB2312"/>
          <w:color w:val="auto"/>
          <w:sz w:val="32"/>
          <w:szCs w:val="32"/>
          <w:lang w:eastAsia="zh-CN"/>
        </w:rPr>
        <w:t>下降</w:t>
      </w:r>
      <w:r>
        <w:rPr>
          <w:rFonts w:hint="eastAsia" w:ascii="仿宋_GB2312" w:hAnsi="仿宋" w:eastAsia="仿宋_GB2312"/>
          <w:color w:val="auto"/>
          <w:sz w:val="32"/>
          <w:szCs w:val="32"/>
          <w:lang w:val="en-US" w:eastAsia="zh-CN"/>
        </w:rPr>
        <w:t>38.22</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。其中：应付类往来款</w:t>
      </w:r>
      <w:r>
        <w:rPr>
          <w:rFonts w:hint="eastAsia" w:ascii="仿宋_GB2312" w:hAnsi="仿宋" w:eastAsia="仿宋_GB2312"/>
          <w:color w:val="auto"/>
          <w:sz w:val="32"/>
          <w:szCs w:val="32"/>
          <w:lang w:val="en-US" w:eastAsia="zh-CN"/>
        </w:rPr>
        <w:t>46.61万元，全部为</w:t>
      </w:r>
      <w:r>
        <w:rPr>
          <w:rFonts w:hint="eastAsia" w:ascii="仿宋_GB2312" w:hAnsi="仿宋" w:eastAsia="仿宋_GB2312"/>
          <w:color w:val="auto"/>
          <w:sz w:val="32"/>
          <w:szCs w:val="32"/>
          <w:lang w:eastAsia="zh-CN"/>
        </w:rPr>
        <w:t>其他应付款，比上年减少</w:t>
      </w:r>
      <w:r>
        <w:rPr>
          <w:rFonts w:hint="eastAsia" w:ascii="仿宋_GB2312" w:hAnsi="仿宋" w:eastAsia="仿宋_GB2312"/>
          <w:color w:val="auto"/>
          <w:sz w:val="32"/>
          <w:szCs w:val="32"/>
          <w:lang w:val="en-US" w:eastAsia="zh-CN"/>
        </w:rPr>
        <w:t>4.9万元，同比</w:t>
      </w:r>
      <w:r>
        <w:rPr>
          <w:rFonts w:hint="eastAsia" w:ascii="仿宋_GB2312" w:hAnsi="仿宋" w:eastAsia="仿宋_GB2312"/>
          <w:color w:val="auto"/>
          <w:sz w:val="32"/>
          <w:szCs w:val="32"/>
        </w:rPr>
        <w:t>下降</w:t>
      </w:r>
      <w:r>
        <w:rPr>
          <w:rFonts w:hint="eastAsia" w:ascii="仿宋_GB2312" w:hAnsi="仿宋" w:eastAsia="仿宋_GB2312"/>
          <w:color w:val="auto"/>
          <w:sz w:val="32"/>
          <w:szCs w:val="32"/>
          <w:lang w:val="en-US" w:eastAsia="zh-CN"/>
        </w:rPr>
        <w:t>9.51</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p>
    <w:tbl>
      <w:tblPr>
        <w:tblStyle w:val="8"/>
        <w:tblpPr w:leftFromText="180" w:rightFromText="180" w:vertAnchor="text" w:horzAnchor="page" w:tblpX="1268" w:tblpY="328"/>
        <w:tblOverlap w:val="never"/>
        <w:tblW w:w="0" w:type="auto"/>
        <w:tblInd w:w="0" w:type="dxa"/>
        <w:tblLayout w:type="fixed"/>
        <w:tblCellMar>
          <w:top w:w="0" w:type="dxa"/>
          <w:left w:w="0" w:type="dxa"/>
          <w:bottom w:w="0" w:type="dxa"/>
          <w:right w:w="0" w:type="dxa"/>
        </w:tblCellMar>
      </w:tblPr>
      <w:tblGrid>
        <w:gridCol w:w="900"/>
        <w:gridCol w:w="840"/>
        <w:gridCol w:w="810"/>
        <w:gridCol w:w="840"/>
        <w:gridCol w:w="810"/>
        <w:gridCol w:w="765"/>
        <w:gridCol w:w="840"/>
        <w:gridCol w:w="840"/>
        <w:gridCol w:w="630"/>
        <w:gridCol w:w="675"/>
        <w:gridCol w:w="810"/>
        <w:gridCol w:w="735"/>
      </w:tblGrid>
      <w:tr>
        <w:tblPrEx>
          <w:tblCellMar>
            <w:top w:w="0" w:type="dxa"/>
            <w:left w:w="0" w:type="dxa"/>
            <w:bottom w:w="0" w:type="dxa"/>
            <w:right w:w="0" w:type="dxa"/>
          </w:tblCellMar>
        </w:tblPrEx>
        <w:trPr>
          <w:trHeight w:val="255" w:hRule="atLeast"/>
        </w:trPr>
        <w:tc>
          <w:tcPr>
            <w:tcW w:w="900" w:type="dxa"/>
            <w:tcBorders>
              <w:top w:val="nil"/>
              <w:left w:val="nil"/>
              <w:bottom w:val="nil"/>
              <w:right w:val="nil"/>
            </w:tcBorders>
            <w:noWrap/>
            <w:tcMar>
              <w:top w:w="15" w:type="dxa"/>
              <w:left w:w="15" w:type="dxa"/>
              <w:right w:w="15" w:type="dxa"/>
            </w:tcMar>
            <w:vAlign w:val="bottom"/>
          </w:tcPr>
          <w:p>
            <w:pPr>
              <w:rPr>
                <w:rFonts w:hint="eastAsia" w:ascii="Arial" w:hAnsi="Arial" w:cs="Arial"/>
                <w:i w:val="0"/>
                <w:color w:val="auto"/>
                <w:sz w:val="20"/>
                <w:szCs w:val="20"/>
                <w:u w:val="none"/>
              </w:rPr>
            </w:pPr>
          </w:p>
        </w:tc>
        <w:tc>
          <w:tcPr>
            <w:tcW w:w="8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8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8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81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76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8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84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630"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675" w:type="dxa"/>
            <w:tcBorders>
              <w:top w:val="nil"/>
              <w:left w:val="nil"/>
              <w:bottom w:val="nil"/>
              <w:right w:val="nil"/>
            </w:tcBorders>
            <w:noWrap/>
            <w:tcMar>
              <w:top w:w="15" w:type="dxa"/>
              <w:left w:w="15" w:type="dxa"/>
              <w:right w:w="15" w:type="dxa"/>
            </w:tcMar>
            <w:vAlign w:val="bottom"/>
          </w:tcPr>
          <w:p>
            <w:pPr>
              <w:rPr>
                <w:rFonts w:hint="default" w:ascii="Arial" w:hAnsi="Arial" w:cs="Arial"/>
                <w:i w:val="0"/>
                <w:color w:val="auto"/>
                <w:sz w:val="20"/>
                <w:szCs w:val="20"/>
                <w:u w:val="none"/>
              </w:rPr>
            </w:pPr>
          </w:p>
        </w:tc>
        <w:tc>
          <w:tcPr>
            <w:tcW w:w="1545" w:type="dxa"/>
            <w:gridSpan w:val="2"/>
            <w:tcBorders>
              <w:top w:val="nil"/>
              <w:left w:val="nil"/>
              <w:bottom w:val="nil"/>
              <w:right w:val="nil"/>
            </w:tcBorders>
            <w:noWrap/>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金额单位： 万元</w:t>
            </w:r>
          </w:p>
        </w:tc>
      </w:tr>
      <w:tr>
        <w:tblPrEx>
          <w:tblCellMar>
            <w:top w:w="0" w:type="dxa"/>
            <w:left w:w="0" w:type="dxa"/>
            <w:bottom w:w="0" w:type="dxa"/>
            <w:right w:w="0" w:type="dxa"/>
          </w:tblCellMar>
        </w:tblPrEx>
        <w:trPr>
          <w:trHeight w:val="308" w:hRule="atLeast"/>
        </w:trPr>
        <w:tc>
          <w:tcPr>
            <w:tcW w:w="9495" w:type="dxa"/>
            <w:gridSpan w:val="12"/>
            <w:tcBorders>
              <w:top w:val="single" w:color="000000" w:sz="4" w:space="0"/>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负  债</w:t>
            </w:r>
          </w:p>
        </w:tc>
      </w:tr>
      <w:tr>
        <w:tblPrEx>
          <w:tblCellMar>
            <w:top w:w="0" w:type="dxa"/>
            <w:left w:w="0" w:type="dxa"/>
            <w:bottom w:w="0" w:type="dxa"/>
            <w:right w:w="0" w:type="dxa"/>
          </w:tblCellMar>
        </w:tblPrEx>
        <w:trPr>
          <w:trHeight w:val="308" w:hRule="atLeast"/>
        </w:trPr>
        <w:tc>
          <w:tcPr>
            <w:tcW w:w="90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合计</w:t>
            </w:r>
          </w:p>
        </w:tc>
        <w:tc>
          <w:tcPr>
            <w:tcW w:w="84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4905" w:type="dxa"/>
            <w:gridSpan w:val="6"/>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其中：应付类往来款</w:t>
            </w:r>
          </w:p>
        </w:tc>
        <w:tc>
          <w:tcPr>
            <w:tcW w:w="2850"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其中：事业单位负债</w:t>
            </w:r>
          </w:p>
        </w:tc>
      </w:tr>
      <w:tr>
        <w:tblPrEx>
          <w:tblCellMar>
            <w:top w:w="0" w:type="dxa"/>
            <w:left w:w="0" w:type="dxa"/>
            <w:bottom w:w="0" w:type="dxa"/>
            <w:right w:w="0" w:type="dxa"/>
          </w:tblCellMar>
        </w:tblPrEx>
        <w:trPr>
          <w:trHeight w:val="308" w:hRule="atLeast"/>
        </w:trPr>
        <w:tc>
          <w:tcPr>
            <w:tcW w:w="9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小计</w:t>
            </w:r>
          </w:p>
        </w:tc>
        <w:tc>
          <w:tcPr>
            <w:tcW w:w="84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3255" w:type="dxa"/>
            <w:gridSpan w:val="4"/>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其中：</w:t>
            </w:r>
          </w:p>
        </w:tc>
        <w:tc>
          <w:tcPr>
            <w:tcW w:w="63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借款小计</w:t>
            </w:r>
          </w:p>
        </w:tc>
        <w:tc>
          <w:tcPr>
            <w:tcW w:w="67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8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资产负债率%</w:t>
            </w:r>
          </w:p>
        </w:tc>
        <w:tc>
          <w:tcPr>
            <w:tcW w:w="73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r>
      <w:tr>
        <w:tblPrEx>
          <w:tblCellMar>
            <w:top w:w="0" w:type="dxa"/>
            <w:left w:w="0" w:type="dxa"/>
            <w:bottom w:w="0" w:type="dxa"/>
            <w:right w:w="0" w:type="dxa"/>
          </w:tblCellMar>
        </w:tblPrEx>
        <w:trPr>
          <w:trHeight w:val="308" w:hRule="atLeast"/>
        </w:trPr>
        <w:tc>
          <w:tcPr>
            <w:tcW w:w="9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应付和预收款项</w:t>
            </w:r>
          </w:p>
        </w:tc>
        <w:tc>
          <w:tcPr>
            <w:tcW w:w="765"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84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其他应付款</w:t>
            </w:r>
          </w:p>
        </w:tc>
        <w:tc>
          <w:tcPr>
            <w:tcW w:w="840" w:type="dxa"/>
            <w:vMerge w:val="restart"/>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比上年增减%</w:t>
            </w:r>
          </w:p>
        </w:tc>
        <w:tc>
          <w:tcPr>
            <w:tcW w:w="6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7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8" w:hRule="atLeast"/>
        </w:trPr>
        <w:tc>
          <w:tcPr>
            <w:tcW w:w="9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6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7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840" w:hRule="atLeast"/>
        </w:trPr>
        <w:tc>
          <w:tcPr>
            <w:tcW w:w="90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6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4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3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67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810"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c>
          <w:tcPr>
            <w:tcW w:w="735" w:type="dxa"/>
            <w:vMerge w:val="continue"/>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jc w:val="center"/>
              <w:rPr>
                <w:rFonts w:hint="eastAsia" w:ascii="宋体" w:hAnsi="宋体" w:eastAsia="宋体" w:cs="宋体"/>
                <w:i w:val="0"/>
                <w:color w:val="auto"/>
                <w:sz w:val="18"/>
                <w:szCs w:val="18"/>
                <w:u w:val="none"/>
              </w:rPr>
            </w:pPr>
          </w:p>
        </w:tc>
      </w:tr>
      <w:tr>
        <w:tblPrEx>
          <w:tblCellMar>
            <w:top w:w="0" w:type="dxa"/>
            <w:left w:w="0" w:type="dxa"/>
            <w:bottom w:w="0" w:type="dxa"/>
            <w:right w:w="0" w:type="dxa"/>
          </w:tblCellMar>
        </w:tblPrEx>
        <w:trPr>
          <w:trHeight w:val="308" w:hRule="atLeast"/>
        </w:trPr>
        <w:tc>
          <w:tcPr>
            <w:tcW w:w="90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18</w:t>
            </w:r>
          </w:p>
        </w:tc>
        <w:tc>
          <w:tcPr>
            <w:tcW w:w="84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19</w:t>
            </w:r>
          </w:p>
        </w:tc>
        <w:tc>
          <w:tcPr>
            <w:tcW w:w="8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20</w:t>
            </w:r>
          </w:p>
        </w:tc>
        <w:tc>
          <w:tcPr>
            <w:tcW w:w="84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21</w:t>
            </w:r>
          </w:p>
        </w:tc>
        <w:tc>
          <w:tcPr>
            <w:tcW w:w="8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22</w:t>
            </w:r>
          </w:p>
        </w:tc>
        <w:tc>
          <w:tcPr>
            <w:tcW w:w="76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23</w:t>
            </w:r>
          </w:p>
        </w:tc>
        <w:tc>
          <w:tcPr>
            <w:tcW w:w="84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24</w:t>
            </w:r>
          </w:p>
        </w:tc>
        <w:tc>
          <w:tcPr>
            <w:tcW w:w="84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25</w:t>
            </w:r>
          </w:p>
        </w:tc>
        <w:tc>
          <w:tcPr>
            <w:tcW w:w="63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26</w:t>
            </w:r>
          </w:p>
        </w:tc>
        <w:tc>
          <w:tcPr>
            <w:tcW w:w="67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27</w:t>
            </w:r>
          </w:p>
        </w:tc>
        <w:tc>
          <w:tcPr>
            <w:tcW w:w="810"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28</w:t>
            </w:r>
          </w:p>
        </w:tc>
        <w:tc>
          <w:tcPr>
            <w:tcW w:w="735" w:type="dxa"/>
            <w:tcBorders>
              <w:top w:val="nil"/>
              <w:left w:val="nil"/>
              <w:bottom w:val="single" w:color="000000" w:sz="4" w:space="0"/>
              <w:right w:val="single" w:color="000000" w:sz="4" w:space="0"/>
            </w:tcBorders>
            <w:shd w:val="clear" w:color="FFFFFF" w:fill="C0C0C0"/>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29</w:t>
            </w:r>
          </w:p>
        </w:tc>
      </w:tr>
      <w:tr>
        <w:tblPrEx>
          <w:tblCellMar>
            <w:top w:w="0" w:type="dxa"/>
            <w:left w:w="0" w:type="dxa"/>
            <w:bottom w:w="0" w:type="dxa"/>
            <w:right w:w="0" w:type="dxa"/>
          </w:tblCellMar>
        </w:tblPrEx>
        <w:trPr>
          <w:trHeight w:val="500" w:hRule="atLeast"/>
        </w:trPr>
        <w:tc>
          <w:tcPr>
            <w:tcW w:w="90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137.94</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-38.22</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46.61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-9.51</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76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46.61</w:t>
            </w:r>
          </w:p>
        </w:tc>
        <w:tc>
          <w:tcPr>
            <w:tcW w:w="84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-9.51</w:t>
            </w:r>
          </w:p>
        </w:tc>
        <w:tc>
          <w:tcPr>
            <w:tcW w:w="63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67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0.00</w:t>
            </w:r>
          </w:p>
        </w:tc>
        <w:tc>
          <w:tcPr>
            <w:tcW w:w="810"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11.22</w:t>
            </w:r>
          </w:p>
        </w:tc>
        <w:tc>
          <w:tcPr>
            <w:tcW w:w="735" w:type="dxa"/>
            <w:tcBorders>
              <w:top w:val="nil"/>
              <w:left w:val="nil"/>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right"/>
              <w:textAlignment w:val="center"/>
              <w:rPr>
                <w:rFonts w:hint="default" w:ascii="宋体" w:hAnsi="宋体" w:eastAsia="宋体" w:cs="宋体"/>
                <w:i w:val="0"/>
                <w:color w:val="auto"/>
                <w:sz w:val="18"/>
                <w:szCs w:val="18"/>
                <w:u w:val="none"/>
                <w:lang w:val="en-US"/>
              </w:rPr>
            </w:pPr>
            <w:r>
              <w:rPr>
                <w:rFonts w:hint="eastAsia" w:ascii="宋体" w:hAnsi="宋体" w:cs="宋体"/>
                <w:i w:val="0"/>
                <w:color w:val="auto"/>
                <w:kern w:val="0"/>
                <w:sz w:val="18"/>
                <w:szCs w:val="18"/>
                <w:u w:val="none"/>
                <w:lang w:val="en-US" w:eastAsia="zh-CN" w:bidi="ar"/>
              </w:rPr>
              <w:t>-4.84</w:t>
            </w:r>
          </w:p>
        </w:tc>
      </w:tr>
    </w:tbl>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ind w:firstLine="640" w:firstLineChars="200"/>
        <w:rPr>
          <w:rFonts w:hint="default" w:ascii="仿宋_GB2312" w:hAnsi="仿宋" w:eastAsia="仿宋_GB2312"/>
          <w:color w:val="auto"/>
          <w:sz w:val="32"/>
          <w:szCs w:val="32"/>
          <w:lang w:val="en-US" w:eastAsia="zh-CN"/>
        </w:rPr>
      </w:pPr>
      <w:r>
        <w:rPr>
          <w:rFonts w:hint="eastAsia" w:ascii="仿宋_GB2312" w:hAnsi="仿宋" w:eastAsia="仿宋_GB2312"/>
          <w:color w:val="auto"/>
          <w:sz w:val="32"/>
          <w:szCs w:val="32"/>
          <w:lang w:eastAsia="zh-CN"/>
        </w:rPr>
        <w:t>主要变动原因：结清上（历）年水电费、应付职工薪酬等款项。</w:t>
      </w:r>
    </w:p>
    <w:p>
      <w:pPr>
        <w:snapToGrid w:val="0"/>
        <w:spacing w:line="520" w:lineRule="exact"/>
        <w:ind w:firstLine="643" w:firstLineChars="200"/>
        <w:rPr>
          <w:rFonts w:hint="eastAsia" w:ascii="楷体_GB2312" w:hAnsi="仿宋" w:eastAsia="楷体_GB2312"/>
          <w:b/>
          <w:color w:val="auto"/>
          <w:sz w:val="32"/>
          <w:szCs w:val="32"/>
        </w:rPr>
      </w:pPr>
      <w:r>
        <w:rPr>
          <w:rFonts w:hint="eastAsia" w:ascii="楷体_GB2312" w:hAnsi="仿宋" w:eastAsia="楷体_GB2312"/>
          <w:b/>
          <w:color w:val="auto"/>
          <w:sz w:val="32"/>
          <w:szCs w:val="32"/>
        </w:rPr>
        <w:t>（二）资产负债对比分析。</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本单位资产管理工作得到了领导的高度重视，专门成立了资产管理小组，定期和不定期地进行资产盘点，及时发现资产状况和掌握资产配置情况。建立并逐步</w:t>
      </w:r>
      <w:r>
        <w:rPr>
          <w:rFonts w:hint="eastAsia" w:ascii="仿宋_GB2312" w:hAnsi="仿宋" w:eastAsia="仿宋_GB2312"/>
          <w:color w:val="auto"/>
          <w:sz w:val="32"/>
          <w:szCs w:val="32"/>
          <w:lang w:val="en-US" w:eastAsia="zh-CN"/>
        </w:rPr>
        <w:t>完善、</w:t>
      </w:r>
      <w:r>
        <w:rPr>
          <w:rFonts w:hint="eastAsia" w:ascii="仿宋_GB2312" w:hAnsi="仿宋" w:eastAsia="仿宋_GB2312"/>
          <w:color w:val="auto"/>
          <w:sz w:val="32"/>
          <w:szCs w:val="32"/>
          <w:lang w:eastAsia="zh-CN"/>
        </w:rPr>
        <w:t>健全单位资产管理制度，</w:t>
      </w:r>
      <w:r>
        <w:rPr>
          <w:rFonts w:hint="eastAsia" w:ascii="仿宋_GB2312" w:hAnsi="仿宋" w:eastAsia="仿宋_GB2312"/>
          <w:color w:val="auto"/>
          <w:sz w:val="32"/>
          <w:szCs w:val="32"/>
          <w:lang w:val="en-US" w:eastAsia="zh-CN"/>
        </w:rPr>
        <w:t>强化管控，</w:t>
      </w:r>
      <w:r>
        <w:rPr>
          <w:rFonts w:hint="eastAsia" w:ascii="仿宋_GB2312" w:hAnsi="仿宋" w:eastAsia="仿宋_GB2312"/>
          <w:color w:val="auto"/>
          <w:sz w:val="32"/>
          <w:szCs w:val="32"/>
          <w:lang w:eastAsia="zh-CN"/>
        </w:rPr>
        <w:t>用制度把好国有资产的“入口关”、“使用关”和“出口关”。</w:t>
      </w:r>
      <w:r>
        <w:rPr>
          <w:rFonts w:hint="eastAsia" w:ascii="仿宋_GB2312" w:hAnsi="仿宋" w:eastAsia="仿宋_GB2312"/>
          <w:color w:val="auto"/>
          <w:sz w:val="32"/>
          <w:szCs w:val="32"/>
          <w:lang w:val="en-US" w:eastAsia="zh-CN"/>
        </w:rPr>
        <w:t>坚持以预算编审为龙头，完善资产管理与预算管理的有机结合。</w:t>
      </w:r>
      <w:r>
        <w:rPr>
          <w:rFonts w:hint="eastAsia" w:ascii="仿宋_GB2312" w:hAnsi="仿宋" w:eastAsia="仿宋_GB2312"/>
          <w:color w:val="auto"/>
          <w:sz w:val="32"/>
          <w:szCs w:val="32"/>
          <w:lang w:eastAsia="zh-CN"/>
        </w:rPr>
        <w:t>通过资产管理信息系统，实现国有资产动态监管，维护其安全与完整，确保国有资产不流失。同时，</w:t>
      </w:r>
      <w:r>
        <w:rPr>
          <w:rFonts w:hint="eastAsia" w:ascii="仿宋_GB2312" w:hAnsi="仿宋" w:eastAsia="仿宋_GB2312"/>
          <w:color w:val="auto"/>
          <w:sz w:val="32"/>
          <w:szCs w:val="32"/>
          <w:lang w:val="en-US" w:eastAsia="zh-CN"/>
        </w:rPr>
        <w:t>坚持公开、公平、公正的原则，规范单位的资产处置行为。加强处置收益监管，严格按照“收支两条线”的规定，及时将资产出租出借以及处置收益全额上缴国库。</w:t>
      </w:r>
      <w:r>
        <w:rPr>
          <w:rFonts w:hint="eastAsia" w:ascii="仿宋_GB2312" w:hAnsi="仿宋" w:eastAsia="仿宋_GB2312"/>
          <w:color w:val="auto"/>
          <w:sz w:val="32"/>
          <w:szCs w:val="32"/>
        </w:rPr>
        <w:t>加强资产效益管理，避免潜在的资产负债风险。</w:t>
      </w:r>
    </w:p>
    <w:p>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hAnsi="仿宋" w:eastAsia="仿宋_GB2312"/>
          <w:color w:val="auto"/>
          <w:sz w:val="32"/>
          <w:szCs w:val="32"/>
          <w:lang w:eastAsia="zh-CN"/>
        </w:rPr>
      </w:pPr>
      <w:bookmarkStart w:id="5" w:name="YS060104"/>
      <w:r>
        <w:rPr>
          <w:rFonts w:hint="eastAsia" w:ascii="仿宋_GB2312" w:hAnsi="仿宋" w:eastAsia="仿宋_GB2312"/>
          <w:color w:val="auto"/>
          <w:sz w:val="32"/>
          <w:szCs w:val="32"/>
        </w:rPr>
        <w:t>201</w:t>
      </w:r>
      <w:r>
        <w:rPr>
          <w:rFonts w:hint="eastAsia" w:ascii="仿宋_GB2312" w:hAnsi="仿宋" w:eastAsia="仿宋_GB2312"/>
          <w:color w:val="auto"/>
          <w:sz w:val="32"/>
          <w:szCs w:val="32"/>
          <w:lang w:val="en-US" w:eastAsia="zh-CN"/>
        </w:rPr>
        <w:t>9</w:t>
      </w:r>
      <w:r>
        <w:rPr>
          <w:rFonts w:hint="eastAsia" w:ascii="仿宋_GB2312" w:hAnsi="仿宋" w:eastAsia="仿宋_GB2312"/>
          <w:color w:val="auto"/>
          <w:sz w:val="32"/>
          <w:szCs w:val="32"/>
        </w:rPr>
        <w:t>年年末资产合计</w:t>
      </w:r>
      <w:r>
        <w:rPr>
          <w:rFonts w:hint="eastAsia" w:ascii="仿宋_GB2312" w:hAnsi="仿宋" w:eastAsia="仿宋_GB2312"/>
          <w:color w:val="auto"/>
          <w:sz w:val="32"/>
          <w:szCs w:val="32"/>
          <w:lang w:val="en-US" w:eastAsia="zh-CN"/>
        </w:rPr>
        <w:t>1390.31</w:t>
      </w:r>
      <w:r>
        <w:rPr>
          <w:rFonts w:hint="eastAsia" w:ascii="仿宋_GB2312" w:hAnsi="仿宋" w:eastAsia="仿宋_GB2312"/>
          <w:color w:val="auto"/>
          <w:sz w:val="32"/>
          <w:szCs w:val="32"/>
        </w:rPr>
        <w:t>万元，年末负债合计</w:t>
      </w:r>
      <w:r>
        <w:rPr>
          <w:rFonts w:hint="eastAsia" w:ascii="仿宋_GB2312" w:hAnsi="仿宋" w:eastAsia="仿宋_GB2312"/>
          <w:color w:val="auto"/>
          <w:sz w:val="32"/>
          <w:szCs w:val="32"/>
          <w:lang w:val="en-US" w:eastAsia="zh-CN"/>
        </w:rPr>
        <w:t>223.28</w:t>
      </w:r>
      <w:r>
        <w:rPr>
          <w:rFonts w:hint="eastAsia" w:ascii="仿宋_GB2312" w:hAnsi="仿宋" w:eastAsia="仿宋_GB2312"/>
          <w:color w:val="auto"/>
          <w:sz w:val="32"/>
          <w:szCs w:val="32"/>
        </w:rPr>
        <w:t>万元，资产负债率</w:t>
      </w:r>
      <w:r>
        <w:rPr>
          <w:rFonts w:hint="eastAsia" w:ascii="仿宋_GB2312" w:hAnsi="仿宋" w:eastAsia="仿宋_GB2312"/>
          <w:color w:val="auto"/>
          <w:sz w:val="32"/>
          <w:szCs w:val="32"/>
          <w:lang w:val="en-US" w:eastAsia="zh-CN"/>
        </w:rPr>
        <w:t>16.06</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年年末资产合计</w:t>
      </w:r>
      <w:r>
        <w:rPr>
          <w:rFonts w:hint="eastAsia" w:ascii="仿宋_GB2312" w:hAnsi="仿宋" w:eastAsia="仿宋_GB2312"/>
          <w:color w:val="auto"/>
          <w:sz w:val="32"/>
          <w:szCs w:val="32"/>
          <w:lang w:val="en-US" w:eastAsia="zh-CN"/>
        </w:rPr>
        <w:t>1229.95</w:t>
      </w:r>
      <w:r>
        <w:rPr>
          <w:rFonts w:hint="eastAsia" w:ascii="仿宋_GB2312" w:hAnsi="仿宋" w:eastAsia="仿宋_GB2312"/>
          <w:color w:val="auto"/>
          <w:sz w:val="32"/>
          <w:szCs w:val="32"/>
        </w:rPr>
        <w:t>万元，年末负债合计</w:t>
      </w:r>
      <w:r>
        <w:rPr>
          <w:rFonts w:hint="eastAsia" w:ascii="仿宋_GB2312" w:hAnsi="仿宋" w:eastAsia="仿宋_GB2312"/>
          <w:color w:val="auto"/>
          <w:sz w:val="32"/>
          <w:szCs w:val="32"/>
          <w:lang w:val="en-US" w:eastAsia="zh-CN"/>
        </w:rPr>
        <w:t>137.94</w:t>
      </w:r>
      <w:r>
        <w:rPr>
          <w:rFonts w:hint="eastAsia" w:ascii="仿宋_GB2312" w:hAnsi="仿宋" w:eastAsia="仿宋_GB2312"/>
          <w:color w:val="auto"/>
          <w:sz w:val="32"/>
          <w:szCs w:val="32"/>
        </w:rPr>
        <w:t>万元，资产负债率</w:t>
      </w:r>
      <w:r>
        <w:rPr>
          <w:rFonts w:hint="eastAsia" w:ascii="仿宋_GB2312" w:hAnsi="仿宋" w:eastAsia="仿宋_GB2312"/>
          <w:color w:val="auto"/>
          <w:sz w:val="32"/>
          <w:szCs w:val="32"/>
          <w:lang w:val="en-US" w:eastAsia="zh-CN"/>
        </w:rPr>
        <w:t>11.22</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，比上年减少</w:t>
      </w:r>
      <w:r>
        <w:rPr>
          <w:rFonts w:hint="eastAsia" w:ascii="仿宋_GB2312" w:hAnsi="仿宋" w:eastAsia="仿宋_GB2312"/>
          <w:color w:val="auto"/>
          <w:sz w:val="32"/>
          <w:szCs w:val="32"/>
          <w:lang w:val="en-US" w:eastAsia="zh-CN"/>
        </w:rPr>
        <w:t>4.84%</w:t>
      </w:r>
      <w:r>
        <w:rPr>
          <w:rFonts w:hint="eastAsia" w:ascii="仿宋_GB2312" w:hAnsi="仿宋" w:eastAsia="仿宋_GB2312"/>
          <w:color w:val="auto"/>
          <w:sz w:val="32"/>
          <w:szCs w:val="32"/>
        </w:rPr>
        <w:t>。</w:t>
      </w:r>
    </w:p>
    <w:p>
      <w:pPr>
        <w:snapToGrid w:val="0"/>
        <w:spacing w:line="520" w:lineRule="exact"/>
        <w:ind w:firstLine="640" w:firstLineChars="200"/>
        <w:rPr>
          <w:rFonts w:hint="eastAsia" w:ascii="黑体" w:hAnsi="黑体" w:eastAsia="黑体"/>
          <w:color w:val="auto"/>
          <w:sz w:val="32"/>
          <w:szCs w:val="32"/>
        </w:rPr>
      </w:pPr>
    </w:p>
    <w:p>
      <w:pPr>
        <w:snapToGrid w:val="0"/>
        <w:spacing w:line="520" w:lineRule="exact"/>
        <w:ind w:firstLine="640" w:firstLineChars="200"/>
        <w:rPr>
          <w:rFonts w:hint="eastAsia" w:ascii="黑体" w:hAnsi="黑体" w:eastAsia="黑体"/>
          <w:color w:val="auto"/>
          <w:sz w:val="32"/>
          <w:szCs w:val="32"/>
        </w:rPr>
      </w:pPr>
      <w:r>
        <w:rPr>
          <w:rFonts w:hint="eastAsia" w:ascii="黑体" w:hAnsi="黑体" w:eastAsia="黑体"/>
          <w:color w:val="auto"/>
          <w:sz w:val="32"/>
          <w:szCs w:val="32"/>
        </w:rPr>
        <w:t>四、本年度部门决算等财务工作开展情况</w:t>
      </w:r>
    </w:p>
    <w:bookmarkEnd w:id="5"/>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（一）本单位财务管理、绩效管理、决算组织、编报、审核情况。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lang w:eastAsia="zh-CN"/>
        </w:rPr>
        <w:t>我处</w:t>
      </w:r>
      <w:r>
        <w:rPr>
          <w:rFonts w:hint="eastAsia" w:ascii="仿宋_GB2312" w:hAnsi="仿宋" w:eastAsia="仿宋_GB2312"/>
          <w:color w:val="auto"/>
          <w:sz w:val="32"/>
          <w:szCs w:val="32"/>
        </w:rPr>
        <w:t>财务管理的基本原则：建立健全财务管理制度，严格执行财务制度和财经纪律。坚持量入为出，保障重点，兼顾一般，厉行节约，制止奢侈浪费，注重资金使用效益。</w:t>
      </w:r>
    </w:p>
    <w:p>
      <w:pPr>
        <w:snapToGrid w:val="0"/>
        <w:spacing w:line="520" w:lineRule="exact"/>
        <w:ind w:firstLine="640" w:firstLineChars="200"/>
        <w:rPr>
          <w:rFonts w:hint="eastAsia" w:ascii="仿宋_GB2312" w:hAnsi="仿宋" w:eastAsia="仿宋_GB2312"/>
          <w:color w:val="auto"/>
          <w:sz w:val="32"/>
          <w:szCs w:val="32"/>
          <w:lang w:eastAsia="zh-CN"/>
        </w:rPr>
      </w:pPr>
    </w:p>
    <w:p>
      <w:pPr>
        <w:snapToGrid w:val="0"/>
        <w:spacing w:line="520" w:lineRule="exact"/>
        <w:ind w:firstLine="640" w:firstLineChars="200"/>
        <w:rPr>
          <w:rFonts w:hint="eastAsia" w:ascii="仿宋_GB2312" w:hAnsi="仿宋" w:eastAsia="仿宋_GB2312"/>
          <w:color w:val="auto"/>
          <w:sz w:val="32"/>
          <w:szCs w:val="32"/>
          <w:lang w:eastAsia="zh-CN"/>
        </w:rPr>
      </w:pPr>
      <w:r>
        <w:rPr>
          <w:rFonts w:hint="eastAsia" w:ascii="仿宋_GB2312" w:hAnsi="仿宋" w:eastAsia="仿宋_GB2312"/>
          <w:color w:val="auto"/>
          <w:sz w:val="32"/>
          <w:szCs w:val="32"/>
        </w:rPr>
        <w:t>结合</w:t>
      </w:r>
      <w:r>
        <w:rPr>
          <w:rFonts w:hint="eastAsia" w:ascii="仿宋_GB2312" w:hAnsi="仿宋" w:eastAsia="仿宋_GB2312"/>
          <w:color w:val="auto"/>
          <w:sz w:val="32"/>
          <w:szCs w:val="32"/>
          <w:lang w:eastAsia="zh-CN"/>
        </w:rPr>
        <w:t>本单位</w:t>
      </w:r>
      <w:r>
        <w:rPr>
          <w:rFonts w:hint="eastAsia" w:ascii="仿宋_GB2312" w:hAnsi="仿宋" w:eastAsia="仿宋_GB2312"/>
          <w:color w:val="auto"/>
          <w:sz w:val="32"/>
          <w:szCs w:val="32"/>
        </w:rPr>
        <w:t>的实际情况，实施预算绩效管理，</w:t>
      </w:r>
      <w:r>
        <w:rPr>
          <w:rFonts w:hint="eastAsia" w:ascii="仿宋_GB2312" w:hAnsi="仿宋" w:eastAsia="仿宋_GB2312"/>
          <w:color w:val="auto"/>
          <w:sz w:val="32"/>
          <w:szCs w:val="32"/>
          <w:lang w:eastAsia="zh-CN"/>
        </w:rPr>
        <w:t>年初设定绩效目标，</w:t>
      </w:r>
      <w:r>
        <w:rPr>
          <w:rFonts w:hint="eastAsia" w:ascii="仿宋_GB2312" w:hAnsi="仿宋" w:eastAsia="仿宋_GB2312"/>
          <w:color w:val="auto"/>
          <w:sz w:val="32"/>
          <w:szCs w:val="32"/>
        </w:rPr>
        <w:t>建立健全单位内控制度，坚持以资金管理为中心，厉行节约为原则，强化预算管理，严格执行《预算法》，按照财政部门预算从严从紧控制各项支出，按月落实资金用款进度</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专款专用，集中财力保证人员经费、部门运转</w:t>
      </w:r>
      <w:r>
        <w:rPr>
          <w:rFonts w:hint="eastAsia" w:ascii="仿宋_GB2312" w:hAnsi="仿宋" w:eastAsia="仿宋_GB2312"/>
          <w:color w:val="auto"/>
          <w:sz w:val="32"/>
          <w:szCs w:val="32"/>
          <w:lang w:eastAsia="zh-CN"/>
        </w:rPr>
        <w:t>。</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年，在处领导的高度重视下，我单位各科室、各部门人员通力合作，全面贯彻落实财政部门</w:t>
      </w:r>
      <w:r>
        <w:rPr>
          <w:rFonts w:hint="eastAsia" w:ascii="仿宋_GB2312" w:hAnsi="仿宋" w:eastAsia="仿宋_GB2312"/>
          <w:color w:val="auto"/>
          <w:sz w:val="32"/>
          <w:szCs w:val="32"/>
          <w:lang w:eastAsia="zh-CN"/>
        </w:rPr>
        <w:t>决算</w:t>
      </w:r>
      <w:r>
        <w:rPr>
          <w:rFonts w:hint="eastAsia" w:ascii="仿宋_GB2312" w:hAnsi="仿宋" w:eastAsia="仿宋_GB2312"/>
          <w:color w:val="auto"/>
          <w:sz w:val="32"/>
          <w:szCs w:val="32"/>
        </w:rPr>
        <w:t>会议精神，规范决算管理工作，认真</w:t>
      </w:r>
      <w:r>
        <w:rPr>
          <w:rFonts w:hint="eastAsia" w:ascii="仿宋_GB2312" w:hAnsi="仿宋" w:eastAsia="仿宋_GB2312"/>
          <w:color w:val="auto"/>
          <w:sz w:val="32"/>
          <w:szCs w:val="32"/>
          <w:lang w:eastAsia="zh-CN"/>
        </w:rPr>
        <w:t>编报、</w:t>
      </w:r>
      <w:r>
        <w:rPr>
          <w:rFonts w:hint="eastAsia" w:ascii="仿宋_GB2312" w:hAnsi="仿宋" w:eastAsia="仿宋_GB2312"/>
          <w:color w:val="auto"/>
          <w:sz w:val="32"/>
          <w:szCs w:val="32"/>
        </w:rPr>
        <w:t>审核</w:t>
      </w:r>
      <w:r>
        <w:rPr>
          <w:rFonts w:hint="eastAsia" w:ascii="仿宋_GB2312" w:hAnsi="仿宋" w:eastAsia="仿宋_GB2312"/>
          <w:color w:val="auto"/>
          <w:sz w:val="32"/>
          <w:szCs w:val="32"/>
          <w:lang w:eastAsia="zh-CN"/>
        </w:rPr>
        <w:t>及分析</w:t>
      </w:r>
      <w:r>
        <w:rPr>
          <w:rFonts w:hint="eastAsia" w:ascii="仿宋_GB2312" w:hAnsi="仿宋" w:eastAsia="仿宋_GB2312"/>
          <w:color w:val="auto"/>
          <w:sz w:val="32"/>
          <w:szCs w:val="32"/>
        </w:rPr>
        <w:t>各项数据，保证决算数据的完整、真实、准确，按时并确保高质量地完成部门决算的编报</w:t>
      </w:r>
      <w:r>
        <w:rPr>
          <w:rFonts w:hint="eastAsia" w:ascii="仿宋_GB2312" w:hAnsi="仿宋" w:eastAsia="仿宋_GB2312"/>
          <w:color w:val="auto"/>
          <w:sz w:val="32"/>
          <w:szCs w:val="32"/>
          <w:lang w:eastAsia="zh-CN"/>
        </w:rPr>
        <w:t>工作</w:t>
      </w:r>
      <w:r>
        <w:rPr>
          <w:rFonts w:hint="eastAsia" w:ascii="仿宋_GB2312" w:hAnsi="仿宋" w:eastAsia="仿宋_GB2312"/>
          <w:color w:val="auto"/>
          <w:sz w:val="32"/>
          <w:szCs w:val="32"/>
        </w:rPr>
        <w:t xml:space="preserve">。 </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（二）本单位决算公开工作、主管部门对所属单位按规定批复决算工作开展情况。</w:t>
      </w:r>
    </w:p>
    <w:p>
      <w:pPr>
        <w:snapToGrid w:val="0"/>
        <w:spacing w:line="52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20</w:t>
      </w:r>
      <w:r>
        <w:rPr>
          <w:rFonts w:hint="eastAsia" w:ascii="仿宋_GB2312" w:hAnsi="仿宋" w:eastAsia="仿宋_GB2312"/>
          <w:color w:val="auto"/>
          <w:sz w:val="32"/>
          <w:szCs w:val="32"/>
          <w:lang w:val="en-US" w:eastAsia="zh-CN"/>
        </w:rPr>
        <w:t>20</w:t>
      </w:r>
      <w:r>
        <w:rPr>
          <w:rFonts w:hint="eastAsia" w:ascii="仿宋_GB2312" w:hAnsi="仿宋" w:eastAsia="仿宋_GB2312"/>
          <w:color w:val="auto"/>
          <w:sz w:val="32"/>
          <w:szCs w:val="32"/>
        </w:rPr>
        <w:t>年</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我单位严格按照上级财政部门预决算的批复，</w:t>
      </w:r>
      <w:r>
        <w:rPr>
          <w:rFonts w:hint="eastAsia" w:ascii="仿宋_GB2312" w:hAnsi="仿宋" w:eastAsia="仿宋_GB2312"/>
          <w:color w:val="auto"/>
          <w:sz w:val="32"/>
          <w:szCs w:val="32"/>
          <w:lang w:eastAsia="zh-CN"/>
        </w:rPr>
        <w:t>在</w:t>
      </w:r>
      <w:r>
        <w:rPr>
          <w:rFonts w:hint="eastAsia" w:ascii="仿宋_GB2312" w:hAnsi="仿宋" w:eastAsia="仿宋_GB2312"/>
          <w:color w:val="auto"/>
          <w:sz w:val="32"/>
          <w:szCs w:val="32"/>
        </w:rPr>
        <w:t>部门预决算批复下达十五日内</w:t>
      </w:r>
      <w:r>
        <w:rPr>
          <w:rFonts w:hint="eastAsia" w:ascii="仿宋_GB2312" w:hAnsi="仿宋" w:eastAsia="仿宋_GB2312"/>
          <w:color w:val="auto"/>
          <w:sz w:val="32"/>
          <w:szCs w:val="32"/>
          <w:lang w:eastAsia="zh-CN"/>
        </w:rPr>
        <w:t>及时</w:t>
      </w:r>
      <w:r>
        <w:rPr>
          <w:rFonts w:hint="eastAsia" w:ascii="仿宋_GB2312" w:hAnsi="仿宋" w:eastAsia="仿宋_GB2312"/>
          <w:color w:val="auto"/>
          <w:sz w:val="32"/>
          <w:szCs w:val="32"/>
        </w:rPr>
        <w:t>进行预决算公开。</w:t>
      </w:r>
    </w:p>
    <w:p>
      <w:pPr>
        <w:snapToGrid w:val="0"/>
        <w:spacing w:line="520" w:lineRule="exact"/>
        <w:ind w:firstLine="640" w:firstLineChars="200"/>
        <w:rPr>
          <w:rFonts w:hint="eastAsia" w:ascii="仿宋_GB2312" w:hAnsi="仿宋" w:eastAsia="仿宋_GB2312"/>
          <w:color w:val="auto"/>
          <w:sz w:val="32"/>
          <w:szCs w:val="32"/>
        </w:rPr>
      </w:pPr>
    </w:p>
    <w:p>
      <w:pPr>
        <w:snapToGrid w:val="0"/>
        <w:spacing w:line="520" w:lineRule="exact"/>
        <w:ind w:firstLine="640" w:firstLineChars="200"/>
        <w:rPr>
          <w:rFonts w:hint="eastAsia" w:ascii="仿宋_GB2312" w:hAnsi="仿宋" w:eastAsia="仿宋_GB2312"/>
          <w:color w:val="auto"/>
          <w:sz w:val="32"/>
          <w:szCs w:val="32"/>
        </w:rPr>
      </w:pPr>
    </w:p>
    <w:p>
      <w:pPr>
        <w:snapToGrid w:val="0"/>
        <w:rPr>
          <w:rFonts w:hint="eastAsia" w:ascii="仿宋_GB2312" w:hAnsi="仿宋" w:eastAsia="仿宋_GB2312"/>
          <w:color w:val="auto"/>
          <w:sz w:val="32"/>
          <w:szCs w:val="32"/>
        </w:rPr>
      </w:pPr>
    </w:p>
    <w:p>
      <w:pPr>
        <w:snapToGrid w:val="0"/>
        <w:rPr>
          <w:rFonts w:hint="eastAsia" w:ascii="仿宋_GB2312" w:hAnsi="仿宋" w:eastAsia="仿宋_GB2312"/>
          <w:color w:val="auto"/>
          <w:sz w:val="32"/>
          <w:szCs w:val="32"/>
        </w:rPr>
      </w:pPr>
    </w:p>
    <w:p>
      <w:pPr>
        <w:snapToGrid w:val="0"/>
        <w:rPr>
          <w:rFonts w:hint="eastAsia" w:ascii="仿宋_GB2312" w:hAnsi="仿宋" w:eastAsia="仿宋_GB2312"/>
          <w:color w:val="auto"/>
          <w:sz w:val="32"/>
          <w:szCs w:val="32"/>
        </w:rPr>
      </w:pPr>
    </w:p>
    <w:p>
      <w:pPr>
        <w:snapToGrid w:val="0"/>
        <w:rPr>
          <w:rFonts w:hint="eastAsia" w:ascii="仿宋_GB2312" w:hAnsi="仿宋" w:eastAsia="仿宋_GB2312"/>
          <w:color w:val="auto"/>
          <w:sz w:val="32"/>
          <w:szCs w:val="32"/>
          <w:u w:val="single"/>
        </w:rPr>
      </w:pPr>
    </w:p>
    <w:p>
      <w:pPr>
        <w:snapToGrid w:val="0"/>
        <w:rPr>
          <w:rFonts w:hint="eastAsia" w:ascii="仿宋_GB2312" w:hAnsi="仿宋" w:eastAsia="仿宋_GB2312"/>
          <w:color w:val="auto"/>
          <w:sz w:val="32"/>
          <w:szCs w:val="32"/>
        </w:rPr>
      </w:pPr>
      <w:r>
        <w:rPr>
          <w:rFonts w:hint="eastAsia" w:ascii="仿宋_GB2312" w:hAnsi="仿宋" w:eastAsia="仿宋_GB2312"/>
          <w:color w:val="auto"/>
          <w:sz w:val="32"/>
          <w:szCs w:val="32"/>
        </w:rPr>
        <w:t>附：</w:t>
      </w:r>
    </w:p>
    <w:p>
      <w:pPr>
        <w:snapToGrid w:val="0"/>
        <w:jc w:val="center"/>
        <w:rPr>
          <w:rFonts w:hint="eastAsia" w:ascii="华文中宋" w:hAnsi="华文中宋" w:eastAsia="华文中宋"/>
          <w:color w:val="auto"/>
          <w:sz w:val="32"/>
          <w:szCs w:val="32"/>
        </w:rPr>
      </w:pPr>
      <w:bookmarkStart w:id="6" w:name="YS060200"/>
    </w:p>
    <w:p>
      <w:pPr>
        <w:snapToGrid w:val="0"/>
        <w:jc w:val="center"/>
        <w:rPr>
          <w:rFonts w:hint="eastAsia" w:ascii="华文中宋" w:hAnsi="华文中宋" w:eastAsia="华文中宋"/>
          <w:color w:val="auto"/>
          <w:sz w:val="32"/>
          <w:szCs w:val="32"/>
        </w:rPr>
      </w:pPr>
      <w:r>
        <w:rPr>
          <w:rFonts w:hint="eastAsia" w:ascii="华文中宋" w:hAnsi="华文中宋" w:eastAsia="华文中宋"/>
          <w:color w:val="auto"/>
          <w:sz w:val="32"/>
          <w:szCs w:val="32"/>
        </w:rPr>
        <w:t>行政事业单位财务分析指标</w:t>
      </w:r>
    </w:p>
    <w:bookmarkEnd w:id="6"/>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黑体" w:hAnsi="黑体" w:eastAsia="黑体"/>
          <w:color w:val="auto"/>
          <w:sz w:val="32"/>
          <w:szCs w:val="32"/>
        </w:rPr>
      </w:pPr>
      <w:bookmarkStart w:id="7" w:name="YS060201"/>
      <w:r>
        <w:rPr>
          <w:rFonts w:hint="eastAsia" w:ascii="黑体" w:hAnsi="黑体" w:eastAsia="黑体"/>
          <w:color w:val="auto"/>
          <w:sz w:val="32"/>
          <w:szCs w:val="32"/>
        </w:rPr>
        <w:t>一、行政单位财务分析指标</w:t>
      </w:r>
    </w:p>
    <w:bookmarkEnd w:id="7"/>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1.支出增长率，衡量行政单位支出的增长水平。计算公式为：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支出增长率＝(本期支出总额÷上期支出总额-1)×100%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2.当年预算支出完成率，衡量行政单位当年支出总预算及分项预算完成的程度。计算公式为：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当年预算支出完成率＝年终执行数÷（年初预算数±年中预算调整数）×100%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年终执行数不含上年结转和结余支出数。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3.人均开支，衡量行政单位人均年消耗经费水平。计算公式为：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人均开支＝本期支出数÷本期平均在职人员数×100%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4.项目支出占总支出的比率，衡量行政单位的支出结构。计算公式为：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项目支出比率=本期项目支出数÷本期支出总数×100%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5.人员支出、公用支出占总支出的比率，衡量行政单位的支出结构。计算公式为：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人员支出比率=本期人员支出数÷本期支出总数×100%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公用支出比率=本期公用支出数÷本期支出总数×100%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6.人均办公使用面积，衡量行政单位办公用房配备情况。计算公式为：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人均办公使用面积=本期末单位办公用房使用面积÷本期末在职人员数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7.人车比例，衡量行政单位公务用车配备情况。计算公式为：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人车比例=本期末在职人员数÷本期末公务用车实有数:1</w:t>
      </w:r>
    </w:p>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黑体" w:hAnsi="黑体" w:eastAsia="黑体"/>
          <w:color w:val="auto"/>
          <w:sz w:val="32"/>
          <w:szCs w:val="32"/>
        </w:rPr>
      </w:pPr>
      <w:bookmarkStart w:id="8" w:name="YS060202"/>
      <w:r>
        <w:rPr>
          <w:rFonts w:hint="eastAsia" w:ascii="黑体" w:hAnsi="黑体" w:eastAsia="黑体"/>
          <w:color w:val="auto"/>
          <w:sz w:val="32"/>
          <w:szCs w:val="32"/>
        </w:rPr>
        <w:t>二、事业单位财务分析指标</w:t>
      </w:r>
    </w:p>
    <w:bookmarkEnd w:id="8"/>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1.预算收入和支出完成率，衡量事业单位收入和支出总预算及分项预算完成的程度。计算公式为：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预算收入完成率＝年终执行数÷（年初预算数±年中预算调整数）×100%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年终执行数不含上年结转和结余收入数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预算支出完成率＝年终执行数÷（年初预算数±年中预算调整数）×100%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年终执行数不含上年结转和结余支出数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2.人员支出、公用支出占事业支出的比率，衡量事业单位事业支出结构。计算公式为：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人员支出比率＝人员支出÷事业支出×100%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公用支出比率＝公用支出÷事业支出×100%</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3.人均基本支出，衡量事业单位按照实际在编人数平均的基本支出水平。计算公式为：</w:t>
      </w:r>
    </w:p>
    <w:p>
      <w:pPr>
        <w:snapToGrid w:val="0"/>
        <w:ind w:firstLine="640" w:firstLineChars="200"/>
        <w:rPr>
          <w:rFonts w:hint="eastAsia" w:ascii="仿宋_GB2312" w:hAnsi="仿宋" w:eastAsia="仿宋_GB2312"/>
          <w:b/>
          <w:color w:val="auto"/>
          <w:sz w:val="32"/>
          <w:szCs w:val="32"/>
        </w:rPr>
      </w:pPr>
      <w:r>
        <w:rPr>
          <w:rFonts w:hint="eastAsia" w:ascii="仿宋_GB2312" w:hAnsi="仿宋" w:eastAsia="仿宋_GB2312"/>
          <w:color w:val="auto"/>
          <w:sz w:val="32"/>
          <w:szCs w:val="32"/>
        </w:rPr>
        <w:t>人均基本支出＝（基本支出-离退休人员支出）÷实际在编人数</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4.资产负债率，衡量事业单位利用债权人提供资金开展业务活动的能力，以及反映债权人提供资金的安全保障程度。计算公式为：</w:t>
      </w: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资产负债率＝负债总额÷资产总额×100%</w:t>
      </w:r>
    </w:p>
    <w:p>
      <w:pPr>
        <w:snapToGrid w:val="0"/>
        <w:ind w:firstLine="640" w:firstLineChars="200"/>
        <w:rPr>
          <w:rFonts w:hint="eastAsia" w:ascii="仿宋_GB2312" w:hAnsi="仿宋" w:eastAsia="仿宋_GB2312"/>
          <w:color w:val="auto"/>
          <w:sz w:val="32"/>
          <w:szCs w:val="32"/>
        </w:rPr>
      </w:pPr>
    </w:p>
    <w:p>
      <w:pPr>
        <w:snapToGrid w:val="0"/>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此外，行业事业单位还可根据相关财务制度规定和分析需要增加相关分析指标，如：</w:t>
      </w:r>
    </w:p>
    <w:bookmarkEnd w:id="1"/>
    <w:p>
      <w:pPr>
        <w:ind w:firstLine="707" w:firstLineChars="221"/>
        <w:rPr>
          <w:rFonts w:hint="eastAsia" w:ascii="仿宋_GB2312" w:hAnsi="仿宋" w:eastAsia="仿宋_GB2312"/>
          <w:color w:val="auto"/>
          <w:sz w:val="32"/>
          <w:szCs w:val="32"/>
        </w:rPr>
      </w:pPr>
      <w:r>
        <w:rPr>
          <w:rFonts w:hint="eastAsia" w:ascii="仿宋_GB2312" w:hAnsi="仿宋" w:eastAsia="仿宋_GB2312"/>
          <w:color w:val="auto"/>
          <w:sz w:val="32"/>
          <w:szCs w:val="32"/>
        </w:rPr>
        <w:t>1.财政拨款依存度, 衡量部门（单位）对财政拨款的依赖程度。</w:t>
      </w:r>
    </w:p>
    <w:p>
      <w:pPr>
        <w:widowControl/>
        <w:ind w:firstLine="640" w:firstLineChars="200"/>
        <w:textAlignment w:val="center"/>
        <w:rPr>
          <w:rFonts w:hint="eastAsia" w:ascii="仿宋_GB2312" w:hAnsi="仿宋" w:eastAsia="仿宋_GB2312"/>
          <w:color w:val="auto"/>
          <w:sz w:val="32"/>
          <w:szCs w:val="32"/>
        </w:rPr>
      </w:pPr>
      <w:r>
        <w:rPr>
          <w:rFonts w:hint="eastAsia" w:ascii="仿宋_GB2312" w:hAnsi="仿宋" w:eastAsia="仿宋_GB2312"/>
          <w:color w:val="auto"/>
          <w:sz w:val="32"/>
          <w:szCs w:val="32"/>
        </w:rPr>
        <w:t>财政拨款依存度＝财政拨款收入÷收入总额×100%</w:t>
      </w:r>
    </w:p>
    <w:p>
      <w:pPr>
        <w:ind w:firstLine="707" w:firstLineChars="221"/>
        <w:rPr>
          <w:rFonts w:hint="eastAsia" w:ascii="仿宋_GB2312" w:hAnsi="仿宋" w:eastAsia="仿宋_GB2312"/>
          <w:color w:val="auto"/>
          <w:sz w:val="32"/>
          <w:szCs w:val="32"/>
        </w:rPr>
      </w:pPr>
      <w:r>
        <w:rPr>
          <w:rFonts w:hint="eastAsia" w:ascii="仿宋_GB2312" w:hAnsi="仿宋" w:eastAsia="仿宋_GB2312"/>
          <w:color w:val="auto"/>
          <w:sz w:val="32"/>
          <w:szCs w:val="32"/>
        </w:rPr>
        <w:t>2.固定资产成新率，反映部门（单位）固定资产的新旧程度。</w:t>
      </w:r>
    </w:p>
    <w:p>
      <w:pPr>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固定资产成新率=固定资产净值÷固定资产原值×100%</w:t>
      </w:r>
    </w:p>
    <w:p>
      <w:pPr>
        <w:ind w:firstLine="640" w:firstLineChars="200"/>
        <w:rPr>
          <w:rFonts w:hint="eastAsia" w:ascii="仿宋_GB2312" w:hAnsi="仿宋" w:eastAsia="仿宋_GB2312"/>
          <w:color w:val="auto"/>
          <w:sz w:val="32"/>
          <w:szCs w:val="32"/>
        </w:rPr>
      </w:pPr>
      <w:bookmarkStart w:id="10" w:name="_GoBack"/>
      <w:bookmarkEnd w:id="10"/>
    </w:p>
    <w:p>
      <w:pPr>
        <w:bidi w:val="0"/>
        <w:jc w:val="center"/>
        <w:rPr>
          <w:rFonts w:hint="eastAsia"/>
          <w:sz w:val="32"/>
          <w:szCs w:val="40"/>
          <w:lang w:val="en-US" w:eastAsia="zh-CN"/>
        </w:rPr>
      </w:pPr>
      <w:bookmarkStart w:id="9" w:name="_Toc5490"/>
      <w:r>
        <w:rPr>
          <w:rFonts w:hint="eastAsia"/>
          <w:sz w:val="32"/>
          <w:szCs w:val="40"/>
          <w:lang w:val="en-US" w:eastAsia="zh-CN"/>
        </w:rPr>
        <w:t>名词解释</w:t>
      </w:r>
      <w:bookmarkEnd w:id="9"/>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252525"/>
          <w:kern w:val="0"/>
          <w:sz w:val="28"/>
          <w:szCs w:val="28"/>
          <w:lang w:val="en-US" w:eastAsia="zh-CN"/>
        </w:rPr>
        <w:t>1、</w:t>
      </w:r>
      <w:r>
        <w:rPr>
          <w:rFonts w:hint="eastAsia" w:ascii="仿宋" w:hAnsi="仿宋" w:eastAsia="仿宋" w:cs="仿宋"/>
          <w:color w:val="auto"/>
          <w:sz w:val="28"/>
          <w:szCs w:val="28"/>
          <w:lang w:val="en-US" w:eastAsia="zh-CN"/>
        </w:rPr>
        <w:t xml:space="preserve">财政拨款收入：指市级财政部门当年拨付的资金。 </w:t>
      </w:r>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2、其他收入：指除上述“财政拨款收入”、“事业收入”、“经营收入”等以外的收入。 </w:t>
      </w:r>
    </w:p>
    <w:p>
      <w:pPr>
        <w:pStyle w:val="4"/>
        <w:adjustRightInd w:val="0"/>
        <w:snapToGrid w:val="0"/>
        <w:spacing w:line="500" w:lineRule="exact"/>
        <w:ind w:firstLine="560" w:firstLineChars="200"/>
        <w:rPr>
          <w:rFonts w:hint="eastAsia" w:ascii="仿宋" w:hAnsi="仿宋" w:eastAsia="仿宋" w:cs="仿宋"/>
          <w:color w:val="252525"/>
          <w:kern w:val="0"/>
          <w:sz w:val="28"/>
          <w:szCs w:val="28"/>
          <w:lang w:val="en-US" w:eastAsia="zh-CN"/>
        </w:rPr>
      </w:pPr>
      <w:r>
        <w:rPr>
          <w:rFonts w:hint="eastAsia" w:ascii="仿宋" w:hAnsi="仿宋" w:eastAsia="仿宋" w:cs="仿宋"/>
          <w:color w:val="auto"/>
          <w:sz w:val="28"/>
          <w:szCs w:val="28"/>
          <w:lang w:val="en-US" w:eastAsia="zh-CN"/>
        </w:rPr>
        <w:t xml:space="preserve">3、年初结转和结余：指以前年度尚未完成、结转到本年按有关规定继续使用的资金。 </w:t>
      </w:r>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4、年末结转和结余：指本年度或以前年度预算安排、因客观条件发生变化无法按原计划实施，需要延迟到以后年度按有关规定继续使用的资金。 </w:t>
      </w:r>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5、基本支出：指为保障机构正常运转、完成日常工作任务而发生的人员支出和公用支出。 </w:t>
      </w:r>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6、项目支出：指在基本支出之外为完成特定行政任务和事业发展目标所发生的支出。 </w:t>
      </w:r>
    </w:p>
    <w:p>
      <w:pPr>
        <w:pStyle w:val="4"/>
        <w:adjustRightInd w:val="0"/>
        <w:snapToGrid w:val="0"/>
        <w:spacing w:line="500" w:lineRule="exact"/>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7、“三公”经费：纳入市财政预决算管理的“三公”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4"/>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lang w:val="en-US" w:eastAsia="zh-CN"/>
        </w:rPr>
        <w:t>8、部门运行经费：为保障部门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hint="eastAsia" w:ascii="仿宋" w:hAnsi="仿宋" w:eastAsia="仿宋" w:cs="仿宋"/>
          <w:b w:val="0"/>
          <w:color w:val="333333"/>
          <w:kern w:val="0"/>
          <w:sz w:val="28"/>
          <w:szCs w:val="28"/>
          <w:lang w:val="en-US" w:eastAsia="zh-CN" w:bidi="ar"/>
        </w:rPr>
        <w:t xml:space="preserve"> </w:t>
      </w:r>
    </w:p>
    <w:p>
      <w:pPr>
        <w:ind w:firstLine="640" w:firstLineChars="200"/>
        <w:rPr>
          <w:rFonts w:hint="eastAsia" w:ascii="仿宋_GB2312" w:hAnsi="仿宋" w:eastAsia="仿宋_GB2312"/>
          <w:color w:val="auto"/>
          <w:sz w:val="32"/>
          <w:szCs w:val="32"/>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创艺简标宋">
    <w:altName w:val="黑体"/>
    <w:panose1 w:val="00000000000000000000"/>
    <w:charset w:val="86"/>
    <w:family w:val="auto"/>
    <w:pitch w:val="default"/>
    <w:sig w:usb0="00000000" w:usb1="00000000" w:usb2="0000001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19</w:t>
    </w:r>
    <w:r>
      <w:rPr>
        <w:rFonts w:ascii="Arial" w:hAnsi="Arial" w:cs="Arial"/>
        <w:sz w:val="24"/>
        <w:szCs w:val="24"/>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E6E3FB"/>
    <w:multiLevelType w:val="singleLevel"/>
    <w:tmpl w:val="BFE6E3FB"/>
    <w:lvl w:ilvl="0" w:tentative="0">
      <w:start w:val="2"/>
      <w:numFmt w:val="decimal"/>
      <w:suff w:val="nothing"/>
      <w:lvlText w:val="（%1）"/>
      <w:lvlJc w:val="left"/>
      <w:pPr>
        <w:ind w:left="-10"/>
      </w:pPr>
    </w:lvl>
  </w:abstractNum>
  <w:abstractNum w:abstractNumId="1">
    <w:nsid w:val="FCE4C723"/>
    <w:multiLevelType w:val="singleLevel"/>
    <w:tmpl w:val="FCE4C723"/>
    <w:lvl w:ilvl="0" w:tentative="0">
      <w:start w:val="2"/>
      <w:numFmt w:val="decimal"/>
      <w:suff w:val="nothing"/>
      <w:lvlText w:val="（%1）"/>
      <w:lvlJc w:val="left"/>
    </w:lvl>
  </w:abstractNum>
  <w:abstractNum w:abstractNumId="2">
    <w:nsid w:val="2D1FBD65"/>
    <w:multiLevelType w:val="singleLevel"/>
    <w:tmpl w:val="2D1FBD65"/>
    <w:lvl w:ilvl="0" w:tentative="0">
      <w:start w:val="2"/>
      <w:numFmt w:val="chineseCounting"/>
      <w:suff w:val="nothing"/>
      <w:lvlText w:val="（%1）"/>
      <w:lvlJc w:val="left"/>
      <w:rPr>
        <w:rFonts w:hint="eastAsia"/>
      </w:rPr>
    </w:lvl>
  </w:abstractNum>
  <w:abstractNum w:abstractNumId="3">
    <w:nsid w:val="3D09AE3F"/>
    <w:multiLevelType w:val="singleLevel"/>
    <w:tmpl w:val="3D09AE3F"/>
    <w:lvl w:ilvl="0" w:tentative="0">
      <w:start w:val="1"/>
      <w:numFmt w:val="decimal"/>
      <w:suff w:val="nothing"/>
      <w:lvlText w:val="（%1）"/>
      <w:lvlJc w:val="left"/>
    </w:lvl>
  </w:abstractNum>
  <w:abstractNum w:abstractNumId="4">
    <w:nsid w:val="4766CE27"/>
    <w:multiLevelType w:val="singleLevel"/>
    <w:tmpl w:val="4766CE27"/>
    <w:lvl w:ilvl="0" w:tentative="0">
      <w:start w:val="1"/>
      <w:numFmt w:val="decimal"/>
      <w:suff w:val="nothing"/>
      <w:lvlText w:val="%1、"/>
      <w:lvlJc w:val="left"/>
    </w:lvl>
  </w:abstractNum>
  <w:abstractNum w:abstractNumId="5">
    <w:nsid w:val="5DBEB163"/>
    <w:multiLevelType w:val="singleLevel"/>
    <w:tmpl w:val="5DBEB163"/>
    <w:lvl w:ilvl="0" w:tentative="0">
      <w:start w:val="4"/>
      <w:numFmt w:val="decimal"/>
      <w:lvlText w:val="(%1)"/>
      <w:lvlJc w:val="left"/>
      <w:pPr>
        <w:tabs>
          <w:tab w:val="left" w:pos="312"/>
        </w:tabs>
      </w:pPr>
    </w:lvl>
  </w:abstractNum>
  <w:num w:numId="1">
    <w:abstractNumId w:val="2"/>
  </w:num>
  <w:num w:numId="2">
    <w:abstractNumId w:val="3"/>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34998"/>
    <w:rsid w:val="017D2690"/>
    <w:rsid w:val="02DE3E8D"/>
    <w:rsid w:val="042A7F77"/>
    <w:rsid w:val="0481474D"/>
    <w:rsid w:val="05AD5A98"/>
    <w:rsid w:val="05C23DE8"/>
    <w:rsid w:val="105A7C99"/>
    <w:rsid w:val="134B4BD8"/>
    <w:rsid w:val="188E362E"/>
    <w:rsid w:val="1ABD5D4B"/>
    <w:rsid w:val="1CC33520"/>
    <w:rsid w:val="206E0D6F"/>
    <w:rsid w:val="20DF68F4"/>
    <w:rsid w:val="227B6297"/>
    <w:rsid w:val="24FA6612"/>
    <w:rsid w:val="254F665C"/>
    <w:rsid w:val="256F4F21"/>
    <w:rsid w:val="2C5014F1"/>
    <w:rsid w:val="2CEC75EF"/>
    <w:rsid w:val="2CFD7196"/>
    <w:rsid w:val="31863666"/>
    <w:rsid w:val="32342B5E"/>
    <w:rsid w:val="32993880"/>
    <w:rsid w:val="365612BE"/>
    <w:rsid w:val="37BF1524"/>
    <w:rsid w:val="39CB795A"/>
    <w:rsid w:val="3A0A6352"/>
    <w:rsid w:val="3A4A0802"/>
    <w:rsid w:val="3C9F6D62"/>
    <w:rsid w:val="406F6514"/>
    <w:rsid w:val="43B34998"/>
    <w:rsid w:val="43E85E2D"/>
    <w:rsid w:val="43EB793C"/>
    <w:rsid w:val="478A7E5C"/>
    <w:rsid w:val="4BBF574A"/>
    <w:rsid w:val="4DF74F00"/>
    <w:rsid w:val="531C386F"/>
    <w:rsid w:val="53933738"/>
    <w:rsid w:val="55B92DB9"/>
    <w:rsid w:val="5670161D"/>
    <w:rsid w:val="582C1F7F"/>
    <w:rsid w:val="590133C5"/>
    <w:rsid w:val="5B7A7BF1"/>
    <w:rsid w:val="5DF62EDD"/>
    <w:rsid w:val="5ED17E4E"/>
    <w:rsid w:val="5FB6437A"/>
    <w:rsid w:val="615A2F7D"/>
    <w:rsid w:val="62643FB1"/>
    <w:rsid w:val="626C6AD7"/>
    <w:rsid w:val="643D7008"/>
    <w:rsid w:val="64C75518"/>
    <w:rsid w:val="67BB6B5D"/>
    <w:rsid w:val="683E0616"/>
    <w:rsid w:val="6A7C7286"/>
    <w:rsid w:val="6B7103BF"/>
    <w:rsid w:val="6F2350BD"/>
    <w:rsid w:val="732B391E"/>
    <w:rsid w:val="74810E8E"/>
    <w:rsid w:val="79D8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semiHidden/>
    <w:qFormat/>
    <w:uiPriority w:val="0"/>
    <w:rPr>
      <w:rFonts w:ascii="宋体" w:hAnsi="Courier New"/>
    </w:rPr>
  </w:style>
  <w:style w:type="paragraph" w:styleId="5">
    <w:name w:val="Body Text Indent 2"/>
    <w:basedOn w:val="1"/>
    <w:qFormat/>
    <w:uiPriority w:val="0"/>
    <w:pPr>
      <w:snapToGrid w:val="0"/>
      <w:spacing w:line="500" w:lineRule="exact"/>
      <w:ind w:firstLine="480" w:firstLineChars="200"/>
    </w:pPr>
    <w:rPr>
      <w:rFonts w:ascii="宋体" w:hAnsi="宋体" w:eastAsia="宋体" w:cs="Times New Roman"/>
      <w:sz w:val="24"/>
      <w:szCs w:val="2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0">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E:\&#38886;&#29577;&#21375;\&#36130;&#25919;\&#20915;&#31639;\2020&#24180;&#20915;&#31639;\&#22270;&#34920;.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E:\&#38886;&#29577;&#21375;\&#36130;&#25919;\&#20915;&#31639;\2020&#24180;&#20915;&#31639;\&#22270;&#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36130;&#25919;\&#37096;&#38376;&#20915;&#31639;\2018\3.7&#19979;&#21320;&#36130;&#21153;&#22270;&#34920;&#65288;2&#65289;.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E:\&#38886;&#29577;&#21375;\&#36130;&#25919;\&#20915;&#31639;\2020&#24180;&#20915;&#31639;\&#22270;&#34920;.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38886;&#29577;&#21375;\&#36130;&#25919;\&#20915;&#31639;\2020&#24180;&#20915;&#31639;\&#22270;&#3492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38886;&#29577;&#21375;\&#36130;&#25919;\&#20915;&#31639;\2020&#24180;&#20915;&#31639;\&#22270;&#3492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2019&#24180;&#20915;&#31639;\3.7&#19979;&#21320;&#36130;&#21153;&#22270;&#34920;.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2019&#24180;&#20915;&#31639;\3.7&#19979;&#21320;&#36130;&#21153;&#22270;&#34920;.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2019&#24180;&#20915;&#31639;\3.7&#19979;&#21320;&#36130;&#21153;&#22270;&#34920;.xlsx" TargetMode="External"/></Relationships>
</file>

<file path=word/charts/_rels/chart9.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E:\&#38886;&#29577;&#21375;\&#36130;&#25919;\&#20915;&#31639;\2020&#24180;&#20915;&#31639;\&#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收入预算</a:t>
            </a:r>
            <a:r>
              <a:rPr lang="en-US" altLang="zh-CN"/>
              <a:t>2996.64</a:t>
            </a:r>
            <a:r>
              <a:rPr lang="zh-CN" altLang="en-US"/>
              <a:t>万元</a:t>
            </a:r>
            <a:endParaRPr lang="zh-CN" altLang="en-US"/>
          </a:p>
        </c:rich>
      </c:tx>
      <c:layout/>
      <c:overlay val="0"/>
      <c:spPr>
        <a:noFill/>
        <a:ln>
          <a:noFill/>
        </a:ln>
        <a:effectLst/>
      </c:spPr>
    </c:title>
    <c:autoTitleDeleted val="0"/>
    <c:plotArea>
      <c:layout/>
      <c:pieChart>
        <c:varyColors val="1"/>
        <c:ser>
          <c:idx val="0"/>
          <c:order val="0"/>
          <c:tx>
            <c:strRef>
              <c:f>[图表.xlsx]收入预算!$B$2</c:f>
              <c:strCache>
                <c:ptCount val="1"/>
                <c:pt idx="0">
                  <c:v>金额</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dLbl>
              <c:idx val="0"/>
              <c:layout>
                <c:manualLayout>
                  <c:x val="0.0610402449693788"/>
                  <c:y val="0.054328885972586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57.67万元, </a:t>
                    </a:r>
                    <a:r>
                      <a:rPr lang="en-US" altLang="zh-CN"/>
                      <a:t>1.92</a:t>
                    </a:r>
                    <a:r>
                      <a:t>%</a:t>
                    </a:r>
                  </a:p>
                </c:rich>
              </c:tx>
              <c:dLblPos val="bestFit"/>
              <c:showLegendKey val="0"/>
              <c:showVal val="1"/>
              <c:showCatName val="0"/>
              <c:showSerName val="0"/>
              <c:showPercent val="1"/>
              <c:showBubbleSize val="0"/>
              <c:extLst>
                <c:ext xmlns:c15="http://schemas.microsoft.com/office/drawing/2012/chart" uri="{CE6537A1-D6FC-4f65-9D91-7224C49458BB}">
                  <c15:layout>
                    <c:manualLayout>
                      <c:w val="0.318549375153149"/>
                      <c:h val="0.166908142567372"/>
                    </c:manualLayout>
                  </c15:layout>
                </c:ext>
              </c:extLst>
            </c:dLbl>
            <c:dLbl>
              <c:idx val="1"/>
              <c:layout>
                <c:manualLayout>
                  <c:x val="0.146307657511936"/>
                  <c:y val="0.10575404652765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2938.9</a:t>
                    </a:r>
                    <a:r>
                      <a:rPr lang="en-US" altLang="zh-CN"/>
                      <a:t>7</a:t>
                    </a:r>
                    <a:r>
                      <a:t>万元, 9</a:t>
                    </a:r>
                    <a:r>
                      <a:rPr lang="en-US" altLang="zh-CN"/>
                      <a:t>8.08</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extLst>
                <c:ext xmlns:c15="http://schemas.microsoft.com/office/drawing/2012/chart" uri="{CE6537A1-D6FC-4f65-9D91-7224C49458BB}">
                  <c15:layout>
                    <c:manualLayout>
                      <c:w val="0.317324185248714"/>
                      <c:h val="0.19414662416690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6350" cap="flat" cmpd="sng" algn="ctr">
                      <a:solidFill>
                        <a:schemeClr val="tx1"/>
                      </a:solidFill>
                      <a:prstDash val="solid"/>
                      <a:round/>
                    </a:ln>
                    <a:effectLst/>
                  </c:spPr>
                </c15:leaderLines>
              </c:ext>
            </c:extLst>
          </c:dLbls>
          <c:cat>
            <c:strRef>
              <c:f>[图表.xlsx]收入预算!$A$3:$A$4</c:f>
              <c:strCache>
                <c:ptCount val="2"/>
                <c:pt idx="0">
                  <c:v>年初结转和结余</c:v>
                </c:pt>
                <c:pt idx="1">
                  <c:v>收入预算</c:v>
                </c:pt>
              </c:strCache>
            </c:strRef>
          </c:cat>
          <c:val>
            <c:numRef>
              <c:f>[图表.xlsx]收入预算!$B$3:$B$4</c:f>
              <c:numCache>
                <c:formatCode>General</c:formatCode>
                <c:ptCount val="2"/>
                <c:pt idx="0">
                  <c:v>57.6705</c:v>
                </c:pt>
                <c:pt idx="1">
                  <c:v>2938.969</c:v>
                </c:pt>
              </c:numCache>
            </c:numRef>
          </c:val>
        </c:ser>
        <c:ser>
          <c:idx val="1"/>
          <c:order val="1"/>
          <c:tx>
            <c:strRef>
              <c:f>[图表.xlsx]收入预算!$C$2</c:f>
              <c:strCache>
                <c:ptCount val="1"/>
                <c:pt idx="0">
                  <c:v>占比</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Lbls>
            <c:delete val="1"/>
          </c:dLbls>
          <c:cat>
            <c:strRef>
              <c:f>[图表.xlsx]收入预算!$A$3:$A$4</c:f>
              <c:strCache>
                <c:ptCount val="2"/>
                <c:pt idx="0">
                  <c:v>年初结转和结余</c:v>
                </c:pt>
                <c:pt idx="1">
                  <c:v>收入预算</c:v>
                </c:pt>
              </c:strCache>
            </c:strRef>
          </c:cat>
          <c:val>
            <c:numRef>
              <c:f>[图表.xlsx]收入预算!$C$3:$C$4</c:f>
              <c:numCache>
                <c:formatCode>0.00%</c:formatCode>
                <c:ptCount val="2"/>
                <c:pt idx="0">
                  <c:v>0.0192</c:v>
                </c:pt>
                <c:pt idx="1">
                  <c:v>0.9808</c:v>
                </c:pt>
              </c:numCache>
            </c:numRef>
          </c:val>
        </c:ser>
        <c:dLbls>
          <c:showLegendKey val="0"/>
          <c:showVal val="0"/>
          <c:showCatName val="0"/>
          <c:showSerName val="0"/>
          <c:showPercent val="0"/>
          <c:showBubbleSize val="0"/>
          <c:showLeaderLines val="1"/>
        </c:dLbls>
        <c:firstSliceAng val="111"/>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2020</a:t>
            </a:r>
            <a:r>
              <a:rPr altLang="en-US"/>
              <a:t>年</a:t>
            </a:r>
            <a:r>
              <a:rPr lang="zh-CN" altLang="en-US"/>
              <a:t>资产结构</a:t>
            </a:r>
            <a:endParaRPr lang="zh-CN" altLang="en-US"/>
          </a:p>
        </c:rich>
      </c:tx>
      <c:layout/>
      <c:overlay val="0"/>
    </c:title>
    <c:autoTitleDeleted val="0"/>
    <c:plotArea>
      <c:layout>
        <c:manualLayout>
          <c:layoutTarget val="inner"/>
          <c:xMode val="edge"/>
          <c:yMode val="edge"/>
          <c:x val="0.157521434820648"/>
          <c:y val="0.228703703703704"/>
          <c:w val="0.44888888888889"/>
          <c:h val="0.748148148148149"/>
        </c:manualLayout>
      </c:layout>
      <c:pieChart>
        <c:varyColors val="1"/>
        <c:ser>
          <c:idx val="0"/>
          <c:order val="0"/>
          <c:tx>
            <c:strRef>
              <c:f>[图表.xlsx]资产负债情况!$B$73</c:f>
              <c:strCache>
                <c:ptCount val="1"/>
                <c:pt idx="0">
                  <c:v>2019金额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1025.21</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a:t>
                    </a:r>
                    <a:r>
                      <a:rPr lang="en-US" altLang="zh-CN"/>
                      <a:t>11.38</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[图表.xlsx]资产负债情况!$A$74:$A$75</c:f>
              <c:strCache>
                <c:ptCount val="2"/>
                <c:pt idx="0">
                  <c:v>固定资产</c:v>
                </c:pt>
                <c:pt idx="1">
                  <c:v>流动资产</c:v>
                </c:pt>
              </c:strCache>
            </c:strRef>
          </c:cat>
          <c:val>
            <c:numRef>
              <c:f>[图表.xlsx]资产负债情况!$B$74:$B$75</c:f>
              <c:numCache>
                <c:formatCode>General</c:formatCode>
                <c:ptCount val="2"/>
                <c:pt idx="0">
                  <c:v>1013.31</c:v>
                </c:pt>
                <c:pt idx="1">
                  <c:v>204.74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rgbClr val="000000"/>
                </a:solidFill>
                <a:latin typeface="+mn-lt"/>
                <a:ea typeface="+mn-ea"/>
                <a:cs typeface="+mn-cs"/>
              </a:defRPr>
            </a:pPr>
            <a:r>
              <a:rPr lang="zh-CN" altLang="en-US"/>
              <a:t>本年支出预算</a:t>
            </a:r>
            <a:r>
              <a:rPr lang="en-US" altLang="zh-CN"/>
              <a:t>2938.97</a:t>
            </a:r>
            <a:r>
              <a:rPr lang="zh-CN" altLang="en-US"/>
              <a:t>万元</a:t>
            </a:r>
            <a:endParaRPr lang="zh-CN" altLang="en-US"/>
          </a:p>
        </c:rich>
      </c:tx>
      <c:layout/>
      <c:overlay val="0"/>
    </c:title>
    <c:autoTitleDeleted val="0"/>
    <c:plotArea>
      <c:layout/>
      <c:pieChart>
        <c:varyColors val="1"/>
        <c:ser>
          <c:idx val="0"/>
          <c:order val="0"/>
          <c:tx>
            <c:strRef>
              <c:f>'[3.7下午财务图表（2）.xlsx]支出预算0'!$B$2</c:f>
              <c:strCache>
                <c:ptCount val="1"/>
                <c:pt idx="0">
                  <c:v>金额</c:v>
                </c:pt>
              </c:strCache>
            </c:strRef>
          </c:tx>
          <c:explosion val="0"/>
          <c:dPt>
            <c:idx val="0"/>
            <c:bubble3D val="0"/>
          </c:dPt>
          <c:dPt>
            <c:idx val="1"/>
            <c:bubble3D val="0"/>
          </c:dPt>
          <c:dLbls>
            <c:dLbl>
              <c:idx val="0"/>
              <c:layout/>
              <c:tx>
                <c:rich>
                  <a:bodyPr rot="0" spcFirstLastPara="0" vertOverflow="ellipsis" vert="horz" wrap="square" lIns="38100" tIns="19050" rIns="38100" bIns="19050" anchor="ctr" anchorCtr="1"/>
                  <a:lstStyle/>
                  <a:p>
                    <a:pPr defTabSz="914400">
                      <a:defRPr lang="zh-CN" sz="1100" b="0" i="0" u="none" strike="noStrike" kern="1200" baseline="0">
                        <a:solidFill>
                          <a:srgbClr val="000000"/>
                        </a:solidFill>
                        <a:latin typeface="+mn-lt"/>
                        <a:ea typeface="+mn-ea"/>
                        <a:cs typeface="+mn-cs"/>
                      </a:defRPr>
                    </a:pPr>
                    <a:r>
                      <a:t> </a:t>
                    </a:r>
                    <a:r>
                      <a:rPr lang="en-US" altLang="zh-CN"/>
                      <a:t>2350.07</a:t>
                    </a:r>
                    <a:r>
                      <a:t>万元, </a:t>
                    </a:r>
                    <a:r>
                      <a:rPr lang="en-US" altLang="zh-CN"/>
                      <a:t>79.96</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solidFill>
                      <a:latin typeface="+mn-lt"/>
                      <a:ea typeface="+mn-ea"/>
                      <a:cs typeface="+mn-cs"/>
                    </a:defRPr>
                  </a:pPr>
                </a:p>
              </c:txPr>
              <c:dLblPos val="bestFit"/>
              <c:showLegendKey val="0"/>
              <c:showVal val="1"/>
              <c:showCatName val="0"/>
              <c:showSerName val="1"/>
              <c:showPercent val="1"/>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100" b="0" i="0" u="none" strike="noStrike" kern="1200" baseline="0">
                        <a:solidFill>
                          <a:srgbClr val="000000"/>
                        </a:solidFill>
                        <a:latin typeface="+mn-lt"/>
                        <a:ea typeface="+mn-ea"/>
                        <a:cs typeface="+mn-cs"/>
                      </a:defRPr>
                    </a:pPr>
                    <a:r>
                      <a:t> </a:t>
                    </a:r>
                    <a:r>
                      <a:rPr lang="en-US" altLang="zh-CN"/>
                      <a:t>588.9</a:t>
                    </a:r>
                    <a:r>
                      <a:t>万元, </a:t>
                    </a:r>
                    <a:r>
                      <a:rPr lang="en-US" altLang="zh-CN"/>
                      <a:t>20.04</a:t>
                    </a:r>
                    <a:r>
                      <a:t>%</a:t>
                    </a:r>
                  </a:p>
                </c:rich>
              </c:tx>
              <c:numFmt formatCode="General" sourceLinked="1"/>
              <c:spPr>
                <a:noFill/>
                <a:ln>
                  <a:noFill/>
                </a:ln>
                <a:effectLst/>
              </c:spPr>
              <c:txPr>
                <a:bodyPr rot="0" spcFirstLastPara="0" vertOverflow="ellipsis" vert="horz" wrap="square" lIns="38100" tIns="19050" rIns="38100" bIns="19050" anchor="ctr" anchorCtr="1"/>
                <a:lstStyle/>
                <a:p>
                  <a:pPr>
                    <a:defRPr lang="zh-CN" sz="1100" b="0" i="0" u="none" strike="noStrike" kern="1200" baseline="0">
                      <a:solidFill>
                        <a:srgbClr val="000000"/>
                      </a:solidFill>
                      <a:latin typeface="+mn-lt"/>
                      <a:ea typeface="+mn-ea"/>
                      <a:cs typeface="+mn-cs"/>
                    </a:defRPr>
                  </a:pPr>
                </a:p>
              </c:txPr>
              <c:dLblPos val="bestFit"/>
              <c:showLegendKey val="0"/>
              <c:showVal val="1"/>
              <c:showCatName val="0"/>
              <c:showSerName val="1"/>
              <c:showPercent val="1"/>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rgbClr val="000000"/>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'[3.7下午财务图表（2）.xlsx]支出预算0'!$A$3:$A$4</c:f>
              <c:strCache>
                <c:ptCount val="2"/>
                <c:pt idx="0">
                  <c:v>基本支出</c:v>
                </c:pt>
                <c:pt idx="1">
                  <c:v>项目支出</c:v>
                </c:pt>
              </c:strCache>
            </c:strRef>
          </c:cat>
          <c:val>
            <c:numRef>
              <c:f>'[3.7下午财务图表（2）.xlsx]支出预算0'!$B$3:$B$4</c:f>
              <c:numCache>
                <c:formatCode>General</c:formatCode>
                <c:ptCount val="2"/>
                <c:pt idx="0">
                  <c:v>1926.57</c:v>
                </c:pt>
                <c:pt idx="1">
                  <c:v>824</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735416666666667"/>
          <c:y val="0.416666666666667"/>
          <c:w val="0.210416666666667"/>
          <c:h val="0.1875"/>
        </c:manualLayout>
      </c:layout>
      <c:overlay val="0"/>
      <c:txPr>
        <a:bodyPr rot="0" spcFirstLastPara="0" vertOverflow="ellipsis" vert="horz" wrap="square" anchor="ctr" anchorCtr="1"/>
        <a:lstStyle/>
        <a:p>
          <a:pPr>
            <a:defRPr lang="zh-CN" sz="1000" b="0" i="0" u="none" strike="noStrike" kern="1200" baseline="0">
              <a:solidFill>
                <a:srgbClr val="000000"/>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单位：万元</a:t>
            </a:r>
          </a:p>
        </c:rich>
      </c:tx>
      <c:layout/>
      <c:overlay val="0"/>
      <c:spPr>
        <a:noFill/>
        <a:ln>
          <a:noFill/>
        </a:ln>
        <a:effectLst/>
      </c:spPr>
    </c:title>
    <c:autoTitleDeleted val="0"/>
    <c:plotArea>
      <c:layout/>
      <c:barChart>
        <c:barDir val="bar"/>
        <c:grouping val="clustered"/>
        <c:varyColors val="0"/>
        <c:ser>
          <c:idx val="0"/>
          <c:order val="0"/>
          <c:tx>
            <c:strRef>
              <c:f>[图表.xlsx]支出预算0!$R$6</c:f>
              <c:strCache>
                <c:ptCount val="1"/>
                <c:pt idx="0">
                  <c:v>预算数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[图表.xlsx]支出预算0!$S$5:$T$5</c:f>
              <c:strCache>
                <c:ptCount val="2"/>
                <c:pt idx="0">
                  <c:v>本年收入</c:v>
                </c:pt>
                <c:pt idx="1">
                  <c:v>本年支出</c:v>
                </c:pt>
              </c:strCache>
            </c:strRef>
          </c:cat>
          <c:val>
            <c:numRef>
              <c:f>[图表.xlsx]支出预算0!$S$6:$T$6</c:f>
              <c:numCache>
                <c:formatCode>General</c:formatCode>
                <c:ptCount val="2"/>
                <c:pt idx="0">
                  <c:v>2996.64</c:v>
                </c:pt>
                <c:pt idx="1">
                  <c:v>2938.97</c:v>
                </c:pt>
              </c:numCache>
            </c:numRef>
          </c:val>
        </c:ser>
        <c:ser>
          <c:idx val="1"/>
          <c:order val="1"/>
          <c:tx>
            <c:strRef>
              <c:f>[图表.xlsx]支出预算0!$R$7</c:f>
              <c:strCache>
                <c:ptCount val="1"/>
                <c:pt idx="0">
                  <c:v>决算数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[图表.xlsx]支出预算0!$S$5:$T$5</c:f>
              <c:strCache>
                <c:ptCount val="2"/>
                <c:pt idx="0">
                  <c:v>本年收入</c:v>
                </c:pt>
                <c:pt idx="1">
                  <c:v>本年支出</c:v>
                </c:pt>
              </c:strCache>
            </c:strRef>
          </c:cat>
          <c:val>
            <c:numRef>
              <c:f>[图表.xlsx]支出预算0!$S$7:$T$7</c:f>
              <c:numCache>
                <c:formatCode>General</c:formatCode>
                <c:ptCount val="2"/>
                <c:pt idx="0">
                  <c:v>3397.97</c:v>
                </c:pt>
                <c:pt idx="1">
                  <c:v>3355.11</c:v>
                </c:pt>
              </c:numCache>
            </c:numRef>
          </c:val>
        </c:ser>
        <c:ser>
          <c:idx val="2"/>
          <c:order val="2"/>
          <c:tx>
            <c:strRef>
              <c:f>[图表.xlsx]支出预算0!$R$8</c:f>
              <c:strCache>
                <c:ptCount val="1"/>
                <c:pt idx="0">
                  <c:v>差异率</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[图表.xlsx]支出预算0!$S$5:$T$5</c:f>
              <c:strCache>
                <c:ptCount val="2"/>
                <c:pt idx="0">
                  <c:v>本年收入</c:v>
                </c:pt>
                <c:pt idx="1">
                  <c:v>本年支出</c:v>
                </c:pt>
              </c:strCache>
            </c:strRef>
          </c:cat>
          <c:val>
            <c:numRef>
              <c:f>[图表.xlsx]支出预算0!$S$8:$T$8</c:f>
              <c:numCache>
                <c:formatCode>0.00%</c:formatCode>
                <c:ptCount val="2"/>
                <c:pt idx="0">
                  <c:v>0.1339</c:v>
                </c:pt>
                <c:pt idx="1">
                  <c:v>0.1416</c:v>
                </c:pt>
              </c:numCache>
            </c:numRef>
          </c:val>
        </c:ser>
        <c:dLbls>
          <c:showLegendKey val="0"/>
          <c:showVal val="1"/>
          <c:showCatName val="0"/>
          <c:showSerName val="0"/>
          <c:showPercent val="0"/>
          <c:showBubbleSize val="0"/>
        </c:dLbls>
        <c:gapWidth val="150"/>
        <c:overlap val="0"/>
        <c:axId val="832248414"/>
        <c:axId val="951430581"/>
      </c:barChart>
      <c:catAx>
        <c:axId val="832248414"/>
        <c:scaling>
          <c:orientation val="minMax"/>
        </c:scaling>
        <c:delete val="0"/>
        <c:axPos val="l"/>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1430581"/>
        <c:crosses val="autoZero"/>
        <c:auto val="1"/>
        <c:lblAlgn val="ctr"/>
        <c:lblOffset val="100"/>
        <c:noMultiLvlLbl val="0"/>
      </c:catAx>
      <c:valAx>
        <c:axId val="95143058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32248414"/>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[图表.xlsx]年末结转和结余!$B$2</c:f>
              <c:strCache>
                <c:ptCount val="1"/>
                <c:pt idx="0">
                  <c:v>2019金额</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3172.3</a:t>
                    </a:r>
                    <a:r>
                      <a:rPr lang="en-US" altLang="zh-CN"/>
                      <a:t>5</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dLbl>
              <c:idx val="1"/>
              <c:layout>
                <c:manualLayout>
                  <c:x val="-0.0117432150313152"/>
                  <c:y val="0.0171781951442968"/>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0.6</a:t>
                    </a:r>
                    <a:r>
                      <a:rPr lang="en-US" altLang="zh-CN"/>
                      <a:t>7</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15:layout>
                    <c:manualLayout>
                      <c:w val="0.0679801670146138"/>
                      <c:h val="0.076271186440678"/>
                    </c:manualLayout>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[图表.xlsx]年末结转和结余!$A$3:$A$4</c:f>
              <c:strCache>
                <c:ptCount val="2"/>
                <c:pt idx="0">
                  <c:v>财政拨款收入</c:v>
                </c:pt>
                <c:pt idx="1">
                  <c:v>其他收入</c:v>
                </c:pt>
              </c:strCache>
            </c:strRef>
          </c:cat>
          <c:val>
            <c:numRef>
              <c:f>[图表.xlsx]年末结转和结余!$B$3:$B$4</c:f>
              <c:numCache>
                <c:formatCode>General</c:formatCode>
                <c:ptCount val="2"/>
                <c:pt idx="0">
                  <c:v>3172.346</c:v>
                </c:pt>
                <c:pt idx="1">
                  <c:v>0.6673</c:v>
                </c:pt>
              </c:numCache>
            </c:numRef>
          </c:val>
        </c:ser>
        <c:ser>
          <c:idx val="1"/>
          <c:order val="1"/>
          <c:tx>
            <c:strRef>
              <c:f>[图表.xlsx]年末结转和结余!$C$2</c:f>
              <c:strCache>
                <c:ptCount val="1"/>
                <c:pt idx="0">
                  <c:v>2020金额</c:v>
                </c:pt>
              </c:strCache>
            </c:strRef>
          </c:tx>
          <c:invertIfNegative val="0"/>
          <c:dLbls>
            <c:dLbl>
              <c:idx val="0"/>
              <c:layout>
                <c:manualLayout>
                  <c:x val="0.0104166666666667"/>
                  <c:y val="-0.12969283276450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3339.</a:t>
                    </a:r>
                    <a:r>
                      <a:rPr lang="en-US" altLang="zh-CN"/>
                      <a:t>8</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0.5</a:t>
                    </a:r>
                    <a:r>
                      <a:rPr lang="en-US" altLang="zh-CN"/>
                      <a:t>1</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[图表.xlsx]年末结转和结余!$A$3:$A$4</c:f>
              <c:strCache>
                <c:ptCount val="2"/>
                <c:pt idx="0">
                  <c:v>财政拨款收入</c:v>
                </c:pt>
                <c:pt idx="1">
                  <c:v>其他收入</c:v>
                </c:pt>
              </c:strCache>
            </c:strRef>
          </c:cat>
          <c:val>
            <c:numRef>
              <c:f>[图表.xlsx]年末结转和结余!$C$3:$C$4</c:f>
              <c:numCache>
                <c:formatCode>General</c:formatCode>
                <c:ptCount val="2"/>
                <c:pt idx="0">
                  <c:v>3339.7977</c:v>
                </c:pt>
                <c:pt idx="1">
                  <c:v>0.5068</c:v>
                </c:pt>
              </c:numCache>
            </c:numRef>
          </c:val>
        </c:ser>
        <c:dLbls>
          <c:showLegendKey val="0"/>
          <c:showVal val="1"/>
          <c:showCatName val="0"/>
          <c:showSerName val="0"/>
          <c:showPercent val="0"/>
          <c:showBubbleSize val="0"/>
        </c:dLbls>
        <c:gapWidth val="150"/>
        <c:axId val="99119872"/>
        <c:axId val="99121408"/>
      </c:barChart>
      <c:scatterChart>
        <c:scatterStyle val="marker"/>
        <c:varyColors val="0"/>
        <c:ser>
          <c:idx val="2"/>
          <c:order val="2"/>
          <c:tx>
            <c:strRef>
              <c:f>[图表.xlsx]年末结转和结余!$E$2</c:f>
              <c:strCache>
                <c:ptCount val="1"/>
                <c:pt idx="0">
                  <c:v>同比</c:v>
                </c:pt>
              </c:strCache>
            </c:strRef>
          </c:tx>
          <c:spPr>
            <a:ln w="28575" cap="rnd" cmpd="sng" algn="ctr">
              <a:noFill/>
              <a:prstDash val="lgDashDotDot"/>
              <a:round/>
            </a:ln>
          </c:spPr>
          <c:marker>
            <c:symbol val="dash"/>
            <c:size val="7"/>
            <c:spPr>
              <a:ln w="9525" cap="flat" cmpd="sng" algn="ctr">
                <a:solidFill>
                  <a:srgbClr val="00B050"/>
                </a:solidFill>
                <a:prstDash val="lgDashDotDot"/>
                <a:round/>
              </a:ln>
            </c:spPr>
          </c:marker>
          <c:dLbls>
            <c:dLbl>
              <c:idx val="0"/>
              <c:layout/>
              <c:tx>
                <c:strRef>
                  <c:f>年末结转和结余!$E$3</c:f>
                  <c:strCache>
                    <c:ptCount val="1"/>
                    <c:pt idx="0">
                      <c:v>5.28%</c:v>
                    </c:pt>
                  </c:strCache>
                </c:strRef>
              </c:tx>
              <c:dLblPos val="t"/>
              <c:showLegendKey val="0"/>
              <c:showVal val="1"/>
              <c:showCatName val="0"/>
              <c:showSerName val="0"/>
              <c:showPercent val="0"/>
              <c:showBubbleSize val="0"/>
              <c:extLst>
                <c:ext xmlns:c15="http://schemas.microsoft.com/office/drawing/2012/chart" uri="{CE6537A1-D6FC-4f65-9D91-7224C49458BB}"/>
              </c:extLst>
            </c:dLbl>
            <c:dLbl>
              <c:idx val="1"/>
              <c:layout>
                <c:manualLayout>
                  <c:x val="-0.0332724425887265"/>
                  <c:y val="-0.0274851122308749"/>
                </c:manualLayout>
              </c:layout>
              <c:tx>
                <c:strRef>
                  <c:f>年末结转和结余!$E$4</c:f>
                  <c:strCache>
                    <c:ptCount val="1"/>
                    <c:pt idx="0">
                      <c:v>24.06%</c:v>
                    </c:pt>
                  </c:strCache>
                </c:strRef>
              </c:tx>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B05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Dir val="y"/>
            <c:errBarType val="minus"/>
            <c:errValType val="fixedVal"/>
            <c:noEndCap val="1"/>
            <c:val val="121"/>
            <c:spPr>
              <a:ln w="9525" cap="flat" cmpd="sng" algn="ctr">
                <a:solidFill>
                  <a:srgbClr val="00B050"/>
                </a:solidFill>
                <a:prstDash val="lgDashDotDot"/>
                <a:round/>
                <a:headEnd type="triangle"/>
              </a:ln>
            </c:spPr>
          </c:errBars>
          <c:xVal>
            <c:numRef>
              <c:f>[图表.xlsx]年末结转和结余!$F$3:$F$4</c:f>
              <c:numCache>
                <c:formatCode>General</c:formatCode>
                <c:ptCount val="2"/>
                <c:pt idx="0">
                  <c:v>1.15</c:v>
                </c:pt>
                <c:pt idx="1">
                  <c:v>2.15</c:v>
                </c:pt>
              </c:numCache>
            </c:numRef>
          </c:xVal>
          <c:yVal>
            <c:numRef>
              <c:f>[图表.xlsx]年末结转和结余!$G$3:$G$4</c:f>
              <c:numCache>
                <c:formatCode>General</c:formatCode>
                <c:ptCount val="2"/>
                <c:pt idx="0">
                  <c:v>3339.7977</c:v>
                </c:pt>
                <c:pt idx="1">
                  <c:v>0.6673</c:v>
                </c:pt>
              </c:numCache>
            </c:numRef>
          </c:yVal>
          <c:smooth val="0"/>
        </c:ser>
        <c:ser>
          <c:idx val="3"/>
          <c:order val="3"/>
          <c:tx>
            <c:strRef>
              <c:f>[图表.xlsx]年末结转和结余!$G$1</c:f>
              <c:strCache>
                <c:ptCount val="1"/>
                <c:pt idx="0">
                  <c:v>单位：万元</c:v>
                </c:pt>
              </c:strCache>
            </c:strRef>
          </c:tx>
          <c:spPr>
            <a:ln w="28575" cap="rnd" cmpd="sng" algn="ctr">
              <a:noFill/>
              <a:prstDash val="solid"/>
              <a:round/>
            </a:ln>
          </c:spPr>
          <c:marker>
            <c:symbol val="none"/>
          </c:marker>
          <c:dLbls>
            <c:delete val="1"/>
          </c:dLbls>
          <c:yVal>
            <c:numRef>
              <c:f>{1}</c:f>
              <c:numCache>
                <c:formatCode>General</c:formatCode>
                <c:ptCount val="1"/>
                <c:pt idx="0">
                  <c:v>1</c:v>
                </c:pt>
              </c:numCache>
            </c:numRef>
          </c:yVal>
          <c:smooth val="0"/>
        </c:ser>
        <c:dLbls>
          <c:showLegendKey val="0"/>
          <c:showVal val="0"/>
          <c:showCatName val="0"/>
          <c:showSerName val="0"/>
          <c:showPercent val="0"/>
          <c:showBubbleSize val="0"/>
        </c:dLbls>
        <c:axId val="99119872"/>
        <c:axId val="99121408"/>
      </c:scatterChart>
      <c:catAx>
        <c:axId val="991198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121408"/>
        <c:crosses val="autoZero"/>
        <c:auto val="1"/>
        <c:lblAlgn val="ctr"/>
        <c:lblOffset val="100"/>
        <c:noMultiLvlLbl val="0"/>
      </c:catAx>
      <c:valAx>
        <c:axId val="991214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1198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[图表.xlsx]年末结转和结余!$B$2</c:f>
              <c:strCache>
                <c:ptCount val="1"/>
                <c:pt idx="0">
                  <c:v>2019金额</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2035.6</a:t>
                    </a:r>
                    <a:r>
                      <a:rPr lang="en-US" altLang="zh-CN"/>
                      <a:t>1</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dLbl>
              <c:idx val="1"/>
              <c:layout>
                <c:manualLayout>
                  <c:x val="-0.031055900621118"/>
                  <c:y val="-0.054607508532423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1157.9</a:t>
                    </a:r>
                    <a:r>
                      <a:rPr lang="en-US" altLang="zh-CN"/>
                      <a:t>8</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[图表.xlsx]年末结转和结余!$A$3:$A$4</c:f>
              <c:strCache>
                <c:ptCount val="2"/>
                <c:pt idx="0">
                  <c:v>基本支出</c:v>
                </c:pt>
                <c:pt idx="1">
                  <c:v>项目支出</c:v>
                </c:pt>
              </c:strCache>
            </c:strRef>
          </c:cat>
          <c:val>
            <c:numRef>
              <c:f>[图表.xlsx]年末结转和结余!$B$3:$B$4</c:f>
              <c:numCache>
                <c:formatCode>General</c:formatCode>
                <c:ptCount val="2"/>
                <c:pt idx="0">
                  <c:v>2035.6053</c:v>
                </c:pt>
                <c:pt idx="1">
                  <c:v>1157.9782</c:v>
                </c:pt>
              </c:numCache>
            </c:numRef>
          </c:val>
        </c:ser>
        <c:ser>
          <c:idx val="1"/>
          <c:order val="1"/>
          <c:tx>
            <c:strRef>
              <c:f>[图表.xlsx]年末结转和结余!$C$2</c:f>
              <c:strCache>
                <c:ptCount val="1"/>
                <c:pt idx="0">
                  <c:v>2020金额</c:v>
                </c:pt>
              </c:strCache>
            </c:strRef>
          </c:tx>
          <c:invertIfNegative val="0"/>
          <c:dLbls>
            <c:dLbl>
              <c:idx val="0"/>
              <c:layout>
                <c:manualLayout>
                  <c:x val="0.0104166666666667"/>
                  <c:y val="-0.129692832764505"/>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2251.</a:t>
                    </a:r>
                    <a:r>
                      <a:rPr lang="en-US" altLang="zh-CN"/>
                      <a:t>4</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1103.7</a:t>
                    </a:r>
                    <a:r>
                      <a:rPr lang="en-US" altLang="zh-CN"/>
                      <a:t>1</a:t>
                    </a:r>
                    <a:endParaRPr lang="en-US" altLang="zh-CN"/>
                  </a:p>
                </c:rich>
              </c:tx>
              <c:dLblPos val="inBase"/>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[图表.xlsx]年末结转和结余!$A$3:$A$4</c:f>
              <c:strCache>
                <c:ptCount val="2"/>
                <c:pt idx="0">
                  <c:v>基本支出</c:v>
                </c:pt>
                <c:pt idx="1">
                  <c:v>项目支出</c:v>
                </c:pt>
              </c:strCache>
            </c:strRef>
          </c:cat>
          <c:val>
            <c:numRef>
              <c:f>[图表.xlsx]年末结转和结余!$C$3:$C$4</c:f>
              <c:numCache>
                <c:formatCode>General</c:formatCode>
                <c:ptCount val="2"/>
                <c:pt idx="0">
                  <c:v>2251.3995</c:v>
                </c:pt>
                <c:pt idx="1">
                  <c:v>1103.7092</c:v>
                </c:pt>
              </c:numCache>
            </c:numRef>
          </c:val>
        </c:ser>
        <c:dLbls>
          <c:showLegendKey val="0"/>
          <c:showVal val="1"/>
          <c:showCatName val="0"/>
          <c:showSerName val="0"/>
          <c:showPercent val="0"/>
          <c:showBubbleSize val="0"/>
        </c:dLbls>
        <c:gapWidth val="150"/>
        <c:axId val="99119872"/>
        <c:axId val="99121408"/>
      </c:barChart>
      <c:scatterChart>
        <c:scatterStyle val="marker"/>
        <c:varyColors val="0"/>
        <c:ser>
          <c:idx val="2"/>
          <c:order val="2"/>
          <c:tx>
            <c:strRef>
              <c:f>[图表.xlsx]年末结转和结余!$E$2</c:f>
              <c:strCache>
                <c:ptCount val="1"/>
                <c:pt idx="0">
                  <c:v>同比</c:v>
                </c:pt>
              </c:strCache>
            </c:strRef>
          </c:tx>
          <c:spPr>
            <a:ln w="28575" cap="rnd" cmpd="sng" algn="ctr">
              <a:noFill/>
              <a:prstDash val="lgDashDotDot"/>
              <a:round/>
            </a:ln>
          </c:spPr>
          <c:marker>
            <c:symbol val="dash"/>
            <c:size val="7"/>
            <c:spPr>
              <a:ln w="9525" cap="flat" cmpd="sng" algn="ctr">
                <a:solidFill>
                  <a:srgbClr val="00B050"/>
                </a:solidFill>
                <a:prstDash val="lgDashDotDot"/>
                <a:round/>
              </a:ln>
            </c:spPr>
          </c:marker>
          <c:dLbls>
            <c:dLbl>
              <c:idx val="0"/>
              <c:layout/>
              <c:tx>
                <c:strRef>
                  <c:f>年末结转和结余!$E$3</c:f>
                  <c:strCache>
                    <c:ptCount val="1"/>
                    <c:pt idx="0">
                      <c:v>10.60%</c:v>
                    </c:pt>
                  </c:strCache>
                </c:strRef>
              </c:tx>
              <c:dLblPos val="t"/>
              <c:showLegendKey val="0"/>
              <c:showVal val="1"/>
              <c:showCatName val="0"/>
              <c:showSerName val="0"/>
              <c:showPercent val="0"/>
              <c:showBubbleSize val="0"/>
              <c:extLst>
                <c:ext xmlns:c15="http://schemas.microsoft.com/office/drawing/2012/chart" uri="{CE6537A1-D6FC-4f65-9D91-7224C49458BB}"/>
              </c:extLst>
            </c:dLbl>
            <c:dLbl>
              <c:idx val="1"/>
              <c:layout/>
              <c:tx>
                <c:strRef>
                  <c:f>年末结转和结余!$E$4</c:f>
                  <c:strCache>
                    <c:ptCount val="1"/>
                    <c:pt idx="0">
                      <c:v>-24.06%</c:v>
                    </c:pt>
                  </c:strCache>
                </c:strRef>
              </c:tx>
              <c:dLblPos val="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00B05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Dir val="y"/>
            <c:errBarType val="minus"/>
            <c:errValType val="fixedVal"/>
            <c:noEndCap val="1"/>
            <c:val val="121"/>
            <c:spPr>
              <a:ln w="9525" cap="flat" cmpd="sng" algn="ctr">
                <a:solidFill>
                  <a:srgbClr val="00B050"/>
                </a:solidFill>
                <a:prstDash val="lgDashDotDot"/>
                <a:round/>
                <a:headEnd type="triangle"/>
              </a:ln>
            </c:spPr>
          </c:errBars>
          <c:xVal>
            <c:numRef>
              <c:f>[图表.xlsx]年末结转和结余!$F$3:$F$4</c:f>
              <c:numCache>
                <c:formatCode>General</c:formatCode>
                <c:ptCount val="2"/>
                <c:pt idx="0">
                  <c:v>1.15</c:v>
                </c:pt>
                <c:pt idx="1">
                  <c:v>2.15</c:v>
                </c:pt>
              </c:numCache>
            </c:numRef>
          </c:xVal>
          <c:yVal>
            <c:numRef>
              <c:f>[图表.xlsx]年末结转和结余!$G$3:$G$4</c:f>
              <c:numCache>
                <c:formatCode>General</c:formatCode>
                <c:ptCount val="2"/>
                <c:pt idx="0">
                  <c:v>2251.3995</c:v>
                </c:pt>
                <c:pt idx="1">
                  <c:v>1157.9782</c:v>
                </c:pt>
              </c:numCache>
            </c:numRef>
          </c:yVal>
          <c:smooth val="0"/>
        </c:ser>
        <c:ser>
          <c:idx val="3"/>
          <c:order val="3"/>
          <c:tx>
            <c:strRef>
              <c:f>[图表.xlsx]年末结转和结余!$G$1</c:f>
              <c:strCache>
                <c:ptCount val="1"/>
                <c:pt idx="0">
                  <c:v>单位：万元</c:v>
                </c:pt>
              </c:strCache>
            </c:strRef>
          </c:tx>
          <c:spPr>
            <a:ln w="28575" cap="rnd" cmpd="sng" algn="ctr">
              <a:noFill/>
              <a:prstDash val="solid"/>
              <a:round/>
            </a:ln>
          </c:spPr>
          <c:marker>
            <c:symbol val="none"/>
          </c:marker>
          <c:dLbls>
            <c:delete val="1"/>
          </c:dLbls>
          <c:yVal>
            <c:numRef>
              <c:f>{1}</c:f>
              <c:numCache>
                <c:formatCode>General</c:formatCode>
                <c:ptCount val="1"/>
                <c:pt idx="0">
                  <c:v>1</c:v>
                </c:pt>
              </c:numCache>
            </c:numRef>
          </c:yVal>
          <c:smooth val="0"/>
        </c:ser>
        <c:dLbls>
          <c:showLegendKey val="0"/>
          <c:showVal val="0"/>
          <c:showCatName val="0"/>
          <c:showSerName val="0"/>
          <c:showPercent val="0"/>
          <c:showBubbleSize val="0"/>
        </c:dLbls>
        <c:axId val="99119872"/>
        <c:axId val="99121408"/>
      </c:scatterChart>
      <c:catAx>
        <c:axId val="9911987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121408"/>
        <c:crosses val="autoZero"/>
        <c:auto val="1"/>
        <c:lblAlgn val="ctr"/>
        <c:lblOffset val="100"/>
        <c:noMultiLvlLbl val="0"/>
      </c:catAx>
      <c:valAx>
        <c:axId val="9912140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9119872"/>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收入预算决算差异图</a:t>
            </a:r>
            <a:endParaRPr lang="zh-CN" altLang="en-US"/>
          </a:p>
        </c:rich>
      </c:tx>
      <c:layout/>
      <c:overlay val="0"/>
    </c:title>
    <c:autoTitleDeleted val="0"/>
    <c:plotArea>
      <c:layout/>
      <c:barChart>
        <c:barDir val="col"/>
        <c:grouping val="clustered"/>
        <c:varyColors val="0"/>
        <c:ser>
          <c:idx val="0"/>
          <c:order val="0"/>
          <c:tx>
            <c:strRef>
              <c:f>'[3.7下午财务图表.xlsx]收入支出预算决算对比表 (2)'!$B$2</c:f>
              <c:strCache>
                <c:ptCount val="1"/>
                <c:pt idx="0">
                  <c:v>预算金额</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2996.64</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57.67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'[3.7下午财务图表.xlsx]收入支出预算决算对比表 (2)'!$A$3:$A$4</c:f>
              <c:strCache>
                <c:ptCount val="2"/>
                <c:pt idx="0">
                  <c:v>本年收入</c:v>
                </c:pt>
                <c:pt idx="1">
                  <c:v>年初结转和结余</c:v>
                </c:pt>
              </c:strCache>
            </c:strRef>
          </c:cat>
          <c:val>
            <c:numRef>
              <c:f>'[3.7下午财务图表.xlsx]收入支出预算决算对比表 (2)'!$B$3:$B$4</c:f>
              <c:numCache>
                <c:formatCode>General</c:formatCode>
                <c:ptCount val="2"/>
                <c:pt idx="0">
                  <c:v>2917.75</c:v>
                </c:pt>
                <c:pt idx="1">
                  <c:v>78.24</c:v>
                </c:pt>
              </c:numCache>
            </c:numRef>
          </c:val>
        </c:ser>
        <c:ser>
          <c:idx val="1"/>
          <c:order val="1"/>
          <c:tx>
            <c:strRef>
              <c:f>'[3.7下午财务图表.xlsx]收入支出预算决算对比表 (2)'!$C$2</c:f>
              <c:strCache>
                <c:ptCount val="1"/>
                <c:pt idx="0">
                  <c:v>决算金额</c:v>
                </c:pt>
              </c:strCache>
            </c:strRef>
          </c:tx>
          <c:invertIfNegative val="0"/>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3397.97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57.67</a:t>
                    </a:r>
                    <a:endParaRPr lang="en-US" altLang="zh-CN"/>
                  </a:p>
                </c:rich>
              </c:tx>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'[3.7下午财务图表.xlsx]收入支出预算决算对比表 (2)'!$A$3:$A$4</c:f>
              <c:strCache>
                <c:ptCount val="2"/>
                <c:pt idx="0">
                  <c:v>本年收入</c:v>
                </c:pt>
                <c:pt idx="1">
                  <c:v>年初结转和结余</c:v>
                </c:pt>
              </c:strCache>
            </c:strRef>
          </c:cat>
          <c:val>
            <c:numRef>
              <c:f>'[3.7下午财务图表.xlsx]收入支出预算决算对比表 (2)'!$C$3:$C$4</c:f>
              <c:numCache>
                <c:formatCode>0.00_ </c:formatCode>
                <c:ptCount val="2"/>
                <c:pt idx="0">
                  <c:v>3164.81</c:v>
                </c:pt>
                <c:pt idx="1">
                  <c:v>78.24</c:v>
                </c:pt>
              </c:numCache>
            </c:numRef>
          </c:val>
        </c:ser>
        <c:dLbls>
          <c:showLegendKey val="0"/>
          <c:showVal val="1"/>
          <c:showCatName val="0"/>
          <c:showSerName val="0"/>
          <c:showPercent val="0"/>
          <c:showBubbleSize val="0"/>
        </c:dLbls>
        <c:gapWidth val="150"/>
        <c:axId val="97503104"/>
        <c:axId val="97504640"/>
      </c:barChart>
      <c:scatterChart>
        <c:scatterStyle val="marker"/>
        <c:varyColors val="0"/>
        <c:ser>
          <c:idx val="2"/>
          <c:order val="2"/>
          <c:tx>
            <c:strRef>
              <c:f>'[3.7下午财务图表.xlsx]收入支出预算决算对比表 (2)'!$D$2</c:f>
              <c:strCache>
                <c:ptCount val="1"/>
                <c:pt idx="0">
                  <c:v>差异率</c:v>
                </c:pt>
              </c:strCache>
            </c:strRef>
          </c:tx>
          <c:spPr>
            <a:ln w="28575" cap="rnd" cmpd="sng" algn="ctr">
              <a:noFill/>
              <a:prstDash val="solid"/>
              <a:round/>
            </a:ln>
          </c:spPr>
          <c:marker>
            <c:symbol val="triangle"/>
            <c:size val="7"/>
            <c:spPr>
              <a:solidFill>
                <a:srgbClr val="FF0000"/>
              </a:solidFill>
              <a:ln w="9525" cap="flat" cmpd="sng" algn="ctr">
                <a:solidFill>
                  <a:srgbClr val="FF0000"/>
                </a:solidFill>
                <a:prstDash val="solid"/>
                <a:round/>
              </a:ln>
            </c:spPr>
          </c:marker>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rgbClr val="FF0000"/>
                        </a:solidFill>
                        <a:latin typeface="+mn-lt"/>
                        <a:ea typeface="+mn-ea"/>
                        <a:cs typeface="+mn-cs"/>
                      </a:defRPr>
                    </a:pPr>
                    <a:r>
                      <a:rPr lang="en-US" altLang="zh-CN"/>
                      <a:t>13.39</a:t>
                    </a:r>
                    <a:r>
                      <a:t>%</a:t>
                    </a:r>
                  </a:p>
                </c:rich>
              </c:tx>
              <c:dLblPos val="t"/>
              <c:showLegendKey val="0"/>
              <c:showVal val="1"/>
              <c:showCatName val="0"/>
              <c:showSerName val="0"/>
              <c:showPercent val="0"/>
              <c:showBubbleSize val="0"/>
              <c:extLst>
                <c:ext xmlns:c15="http://schemas.microsoft.com/office/drawing/2012/chart" uri="{CE6537A1-D6FC-4f65-9D91-7224C49458BB}"/>
              </c:extLst>
            </c:dLbl>
            <c:dLbl>
              <c:idx val="1"/>
              <c:layout>
                <c:manualLayout>
                  <c:x val="0.00863930885529158"/>
                  <c:y val="-0.0105633802816901"/>
                </c:manualLayout>
              </c:layout>
              <c:tx>
                <c:strRef>
                  <c:f>'收入支出预算决算对比表 (2)'!$D$4</c:f>
                  <c:strCache>
                    <c:ptCount val="1"/>
                    <c:pt idx="0">
                      <c:v>0%</c:v>
                    </c:pt>
                  </c:strCache>
                </c:strRef>
              </c:tx>
              <c:dLblPos val="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FF0000"/>
                    </a:solidFill>
                    <a:latin typeface="+mn-lt"/>
                    <a:ea typeface="+mn-ea"/>
                    <a:cs typeface="+mn-cs"/>
                  </a:defRPr>
                </a:pPr>
              </a:p>
            </c:txPr>
            <c:dLblPos val="t"/>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errBars>
            <c:errDir val="y"/>
            <c:errBarType val="minus"/>
            <c:errValType val="fixedVal"/>
            <c:noEndCap val="1"/>
            <c:val val="267.03"/>
            <c:spPr>
              <a:ln w="9525" cap="flat" cmpd="sng" algn="ctr">
                <a:solidFill>
                  <a:srgbClr val="FF0000"/>
                </a:solidFill>
                <a:prstDash val="lgDashDotDot"/>
                <a:round/>
              </a:ln>
            </c:spPr>
          </c:errBars>
          <c:xVal>
            <c:numRef>
              <c:f>'[3.7下午财务图表.xlsx]收入支出预算决算对比表 (2)'!$E$3:$E$4</c:f>
              <c:numCache>
                <c:formatCode>General</c:formatCode>
                <c:ptCount val="2"/>
                <c:pt idx="0">
                  <c:v>0.85</c:v>
                </c:pt>
                <c:pt idx="1">
                  <c:v>1.85</c:v>
                </c:pt>
              </c:numCache>
            </c:numRef>
          </c:xVal>
          <c:yVal>
            <c:numRef>
              <c:f>'[3.7下午财务图表.xlsx]收入支出预算决算对比表 (2)'!$F$3:$F$4</c:f>
              <c:numCache>
                <c:formatCode>General</c:formatCode>
                <c:ptCount val="2"/>
                <c:pt idx="0">
                  <c:v>3164.81</c:v>
                </c:pt>
                <c:pt idx="1">
                  <c:v>78.24</c:v>
                </c:pt>
              </c:numCache>
            </c:numRef>
          </c:yVal>
          <c:smooth val="0"/>
        </c:ser>
        <c:ser>
          <c:idx val="3"/>
          <c:order val="3"/>
          <c:tx>
            <c:strRef>
              <c:f>"单位;万元"</c:f>
              <c:strCache>
                <c:ptCount val="1"/>
                <c:pt idx="0">
                  <c:v>单位;万元</c:v>
                </c:pt>
              </c:strCache>
            </c:strRef>
          </c:tx>
          <c:spPr>
            <a:ln w="28575" cap="rnd" cmpd="sng" algn="ctr">
              <a:noFill/>
              <a:prstDash val="solid"/>
              <a:round/>
            </a:ln>
          </c:spPr>
          <c:marker>
            <c:symbol val="none"/>
          </c:marker>
          <c:dLbls>
            <c:delete val="1"/>
          </c:dLbls>
          <c:yVal>
            <c:numRef>
              <c:f>{1}</c:f>
              <c:numCache>
                <c:formatCode>General</c:formatCode>
                <c:ptCount val="1"/>
                <c:pt idx="0">
                  <c:v>1</c:v>
                </c:pt>
              </c:numCache>
            </c:numRef>
          </c:yVal>
          <c:smooth val="0"/>
        </c:ser>
        <c:dLbls>
          <c:showLegendKey val="0"/>
          <c:showVal val="0"/>
          <c:showCatName val="0"/>
          <c:showSerName val="0"/>
          <c:showPercent val="0"/>
          <c:showBubbleSize val="0"/>
        </c:dLbls>
        <c:axId val="97503104"/>
        <c:axId val="97504640"/>
      </c:scatterChart>
      <c:catAx>
        <c:axId val="97503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04640"/>
        <c:crosses val="autoZero"/>
        <c:auto val="1"/>
        <c:lblAlgn val="ctr"/>
        <c:lblOffset val="100"/>
        <c:noMultiLvlLbl val="0"/>
      </c:catAx>
      <c:valAx>
        <c:axId val="97504640"/>
        <c:scaling>
          <c:orientation val="minMax"/>
          <c:min val="0"/>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97503104"/>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支出结构分析图（按支出性质）</a:t>
            </a:r>
            <a:endParaRPr lang="zh-CN" altLang="en-US"/>
          </a:p>
        </c:rich>
      </c:tx>
      <c:layout/>
      <c:overlay val="0"/>
    </c:title>
    <c:autoTitleDeleted val="0"/>
    <c:plotArea>
      <c:layout/>
      <c:pieChart>
        <c:varyColors val="1"/>
        <c:ser>
          <c:idx val="0"/>
          <c:order val="0"/>
          <c:tx>
            <c:strRef>
              <c:f>[3.7下午财务图表.xlsx]收入支出结构分析1!$B$41</c:f>
              <c:strCache>
                <c:ptCount val="1"/>
                <c:pt idx="0">
                  <c:v>金额</c:v>
                </c:pt>
              </c:strCache>
            </c:strRef>
          </c:tx>
          <c:explosion val="0"/>
          <c:dPt>
            <c:idx val="0"/>
            <c:bubble3D val="0"/>
          </c:dPt>
          <c:dPt>
            <c:idx val="1"/>
            <c:bubble3D val="0"/>
          </c:dPt>
          <c:dLbls>
            <c:dLbl>
              <c:idx val="0"/>
              <c:layout>
                <c:manualLayout>
                  <c:x val="-0.210503280839896"/>
                  <c:y val="-0.0666925488480607"/>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2251.4</a:t>
                    </a:r>
                    <a:r>
                      <a:t>万元,</a:t>
                    </a:r>
                    <a:r>
                      <a:rPr lang="en-US" altLang="zh-CN"/>
                      <a:t>67.1</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93836614173228"/>
                  <c:y val="0.05743365412656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1103.71</a:t>
                    </a:r>
                    <a:r>
                      <a:t>万元,</a:t>
                    </a:r>
                    <a:r>
                      <a:rPr lang="en-US" altLang="zh-CN"/>
                      <a:t>32.9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in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[3.7下午财务图表.xlsx]收入支出结构分析1!$A$42:$A$43</c:f>
              <c:strCache>
                <c:ptCount val="2"/>
                <c:pt idx="0">
                  <c:v>基本支出</c:v>
                </c:pt>
                <c:pt idx="1">
                  <c:v>项目支出</c:v>
                </c:pt>
              </c:strCache>
            </c:strRef>
          </c:cat>
          <c:val>
            <c:numRef>
              <c:f>[3.7下午财务图表.xlsx]收入支出结构分析1!$B$42:$B$43</c:f>
              <c:numCache>
                <c:formatCode>General</c:formatCode>
                <c:ptCount val="2"/>
                <c:pt idx="0">
                  <c:v>2035.61</c:v>
                </c:pt>
                <c:pt idx="1">
                  <c:v>1150.44</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600" b="1" i="0" u="none" strike="noStrike" kern="1200" baseline="0">
                <a:solidFill>
                  <a:schemeClr val="tx1"/>
                </a:solidFill>
                <a:latin typeface="+mn-lt"/>
                <a:ea typeface="+mn-ea"/>
                <a:cs typeface="+mn-cs"/>
              </a:defRPr>
            </a:pPr>
            <a:r>
              <a:rPr lang="zh-CN" altLang="en-US" sz="1600"/>
              <a:t>支出结构分析图（按支出经济分类）</a:t>
            </a:r>
            <a:endParaRPr lang="zh-CN" altLang="en-US" sz="1600"/>
          </a:p>
        </c:rich>
      </c:tx>
      <c:layout/>
      <c:overlay val="0"/>
    </c:title>
    <c:autoTitleDeleted val="0"/>
    <c:plotArea>
      <c:layout/>
      <c:pieChart>
        <c:varyColors val="1"/>
        <c:ser>
          <c:idx val="0"/>
          <c:order val="0"/>
          <c:tx>
            <c:strRef>
              <c:f>[3.7下午财务图表.xlsx]收入支出结构分析1!$B$59</c:f>
              <c:strCache>
                <c:ptCount val="1"/>
                <c:pt idx="0">
                  <c:v>金额</c:v>
                </c:pt>
              </c:strCache>
            </c:strRef>
          </c:tx>
          <c:explosion val="0"/>
          <c:dPt>
            <c:idx val="0"/>
            <c:bubble3D val="0"/>
          </c:dPt>
          <c:dPt>
            <c:idx val="1"/>
            <c:bubble3D val="0"/>
          </c:dPt>
          <c:dPt>
            <c:idx val="2"/>
            <c:bubble3D val="0"/>
          </c:dPt>
          <c:dPt>
            <c:idx val="3"/>
            <c:bubble3D val="0"/>
          </c:dPt>
          <c:dLbls>
            <c:dLbl>
              <c:idx val="0"/>
              <c:layout>
                <c:manualLayout>
                  <c:x val="-0.133333333333333"/>
                  <c:y val="-0.1851851851851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2673.72</a:t>
                    </a:r>
                    <a:r>
                      <a:t>万元, </a:t>
                    </a:r>
                    <a:r>
                      <a:rPr lang="en-US" altLang="zh-CN"/>
                      <a:t>79.69</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1"/>
              <c:layout>
                <c:manualLayout>
                  <c:x val="0.125"/>
                  <c:y val="0.15740704286964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558.6</a:t>
                    </a:r>
                    <a:r>
                      <a:t>万元, </a:t>
                    </a:r>
                    <a:r>
                      <a:rPr lang="en-US" altLang="zh-CN"/>
                      <a:t>16.65</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manualLayout>
                  <c:x val="-0.0868055555555558"/>
                  <c:y val="0.018518518518518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4.44</a:t>
                    </a:r>
                    <a:r>
                      <a:t>万元, 0</a:t>
                    </a:r>
                    <a:r>
                      <a:rPr lang="en-US" altLang="zh-CN"/>
                      <a:t>.13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3"/>
              <c:layout>
                <c:manualLayout>
                  <c:x val="0.13125"/>
                  <c:y val="0.0347222222222222"/>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rPr lang="en-US" altLang="zh-CN"/>
                      <a:t>118.36</a:t>
                    </a:r>
                    <a:r>
                      <a:t>万元, </a:t>
                    </a:r>
                    <a:r>
                      <a:rPr lang="en-US" altLang="zh-CN"/>
                      <a:t>3.53</a:t>
                    </a:r>
                    <a:r>
                      <a:t>%</a:t>
                    </a: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[3.7下午财务图表.xlsx]收入支出结构分析1!$A$60:$A$63</c:f>
              <c:strCache>
                <c:ptCount val="4"/>
                <c:pt idx="0">
                  <c:v>工资福利</c:v>
                </c:pt>
                <c:pt idx="1">
                  <c:v>商品和服务支出</c:v>
                </c:pt>
                <c:pt idx="2">
                  <c:v>对个人和家庭的补助支出</c:v>
                </c:pt>
                <c:pt idx="3">
                  <c:v>资本性支出</c:v>
                </c:pt>
              </c:strCache>
            </c:strRef>
          </c:cat>
          <c:val>
            <c:numRef>
              <c:f>[3.7下午财务图表.xlsx]收入支出结构分析1!$B$60:$B$63</c:f>
              <c:numCache>
                <c:formatCode>General</c:formatCode>
                <c:ptCount val="4"/>
                <c:pt idx="0">
                  <c:v>2466.89</c:v>
                </c:pt>
                <c:pt idx="1">
                  <c:v>540.42</c:v>
                </c:pt>
                <c:pt idx="2">
                  <c:v>9.95</c:v>
                </c:pt>
                <c:pt idx="3">
                  <c:v>168.78</c:v>
                </c:pt>
              </c:numCache>
            </c:numRef>
          </c:val>
        </c:ser>
        <c:dLbls>
          <c:showLegendKey val="0"/>
          <c:showVal val="1"/>
          <c:showCatName val="0"/>
          <c:showSerName val="0"/>
          <c:showPercent val="0"/>
          <c:showBubbleSize val="0"/>
          <c:showLeaderLines val="1"/>
        </c:dLbls>
        <c:firstSliceAng val="0"/>
      </c:pieChart>
    </c:plotArea>
    <c:legend>
      <c:legendPos val="r"/>
      <c:layout>
        <c:manualLayout>
          <c:xMode val="edge"/>
          <c:yMode val="edge"/>
          <c:x val="0.630598643919511"/>
          <c:y val="0.289668270632838"/>
          <c:w val="0.352734689413823"/>
          <c:h val="0.359552347623214"/>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800" b="0" i="0" u="none" strike="noStrike" kern="1200" spc="0" baseline="0">
                <a:solidFill>
                  <a:sysClr val="windowText" lastClr="000000"/>
                </a:solidFill>
                <a:latin typeface="+mn-lt"/>
                <a:ea typeface="+mn-ea"/>
                <a:cs typeface="+mn-cs"/>
              </a:defRPr>
            </a:pPr>
            <a:r>
              <a:rPr sz="800">
                <a:solidFill>
                  <a:sysClr val="windowText" lastClr="000000"/>
                </a:solidFill>
              </a:rPr>
              <a:t>金额：万元</a:t>
            </a:r>
            <a:endParaRPr sz="800">
              <a:solidFill>
                <a:sysClr val="windowText" lastClr="000000"/>
              </a:solidFill>
            </a:endParaRPr>
          </a:p>
        </c:rich>
      </c:tx>
      <c:layout>
        <c:manualLayout>
          <c:xMode val="edge"/>
          <c:yMode val="edge"/>
          <c:x val="0.70125"/>
          <c:y val="0.899305555555556"/>
        </c:manualLayout>
      </c:layout>
      <c:overlay val="0"/>
      <c:spPr>
        <a:noFill/>
        <a:ln>
          <a:noFill/>
        </a:ln>
        <a:effectLst/>
      </c:spPr>
    </c:title>
    <c:autoTitleDeleted val="0"/>
    <c:plotArea>
      <c:layout/>
      <c:barChart>
        <c:barDir val="col"/>
        <c:grouping val="clustered"/>
        <c:varyColors val="0"/>
        <c:ser>
          <c:idx val="0"/>
          <c:order val="0"/>
          <c:tx>
            <c:strRef>
              <c:f>[图表.xlsx]资产负债情况!$B$34</c:f>
              <c:strCache>
                <c:ptCount val="1"/>
                <c:pt idx="0">
                  <c:v>2019年度</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[图表.xlsx]资产负债情况!$A$35:$A$37</c:f>
              <c:strCache>
                <c:ptCount val="3"/>
                <c:pt idx="0">
                  <c:v>年末资产</c:v>
                </c:pt>
                <c:pt idx="1">
                  <c:v>年末净资产</c:v>
                </c:pt>
                <c:pt idx="2">
                  <c:v>年末负债</c:v>
                </c:pt>
              </c:strCache>
            </c:strRef>
          </c:cat>
          <c:val>
            <c:numRef>
              <c:f>[图表.xlsx]资产负债情况!$B$35:$B$37</c:f>
              <c:numCache>
                <c:formatCode>General</c:formatCode>
                <c:ptCount val="3"/>
                <c:pt idx="0">
                  <c:v>1390.31</c:v>
                </c:pt>
                <c:pt idx="1">
                  <c:v>1167.03</c:v>
                </c:pt>
                <c:pt idx="2">
                  <c:v>223.28</c:v>
                </c:pt>
              </c:numCache>
            </c:numRef>
          </c:val>
        </c:ser>
        <c:ser>
          <c:idx val="1"/>
          <c:order val="1"/>
          <c:tx>
            <c:strRef>
              <c:f>[图表.xlsx]资产负债情况!$C$34</c:f>
              <c:strCache>
                <c:ptCount val="1"/>
                <c:pt idx="0">
                  <c:v>2020年度</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[图表.xlsx]资产负债情况!$A$35:$A$37</c:f>
              <c:strCache>
                <c:ptCount val="3"/>
                <c:pt idx="0">
                  <c:v>年末资产</c:v>
                </c:pt>
                <c:pt idx="1">
                  <c:v>年末净资产</c:v>
                </c:pt>
                <c:pt idx="2">
                  <c:v>年末负债</c:v>
                </c:pt>
              </c:strCache>
            </c:strRef>
          </c:cat>
          <c:val>
            <c:numRef>
              <c:f>[图表.xlsx]资产负债情况!$C$35:$C$37</c:f>
              <c:numCache>
                <c:formatCode>General</c:formatCode>
                <c:ptCount val="3"/>
                <c:pt idx="0">
                  <c:v>1229.95</c:v>
                </c:pt>
                <c:pt idx="1">
                  <c:v>1092.01</c:v>
                </c:pt>
                <c:pt idx="2">
                  <c:v>137.94</c:v>
                </c:pt>
              </c:numCache>
            </c:numRef>
          </c:val>
        </c:ser>
        <c:dLbls>
          <c:showLegendKey val="0"/>
          <c:showVal val="1"/>
          <c:showCatName val="0"/>
          <c:showSerName val="0"/>
          <c:showPercent val="0"/>
          <c:showBubbleSize val="0"/>
        </c:dLbls>
        <c:gapWidth val="219"/>
        <c:overlap val="-27"/>
        <c:axId val="620653573"/>
        <c:axId val="991317107"/>
      </c:barChart>
      <c:catAx>
        <c:axId val="62065357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1317107"/>
        <c:crosses val="autoZero"/>
        <c:auto val="1"/>
        <c:lblAlgn val="ctr"/>
        <c:lblOffset val="100"/>
        <c:noMultiLvlLbl val="0"/>
      </c:catAx>
      <c:valAx>
        <c:axId val="9913171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206535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2020-02-18T02:57:00Z</dcterms:created>
  <dc:creator>Administrator</dc:creator>
  <cp:lastModifiedBy>韦妖妖灵</cp:lastModifiedBy>
  <dcterms:modified xsi:type="dcterms:W3CDTF">2021-05-26T02:16:00Z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00A6B618562447B2BEA2E9CED25EA80F</vt:lpwstr>
  </property>
</Properties>
</file>