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sz w:val="44"/>
          <w:szCs w:val="44"/>
        </w:rPr>
      </w:pPr>
      <w:bookmarkStart w:id="0" w:name="YS040100"/>
    </w:p>
    <w:p>
      <w:pPr>
        <w:jc w:val="center"/>
        <w:rPr>
          <w:rFonts w:ascii="黑体" w:hAnsi="黑体" w:eastAsia="黑体" w:cs="黑体"/>
          <w:color w:val="000000"/>
          <w:sz w:val="44"/>
          <w:szCs w:val="44"/>
        </w:rPr>
      </w:pPr>
      <w:r>
        <w:rPr>
          <w:rFonts w:hint="eastAsia" w:ascii="黑体" w:hAnsi="黑体" w:eastAsia="黑体" w:cs="黑体"/>
          <w:color w:val="000000"/>
          <w:sz w:val="44"/>
          <w:szCs w:val="44"/>
        </w:rPr>
        <w:t>河池市环境卫生管理处</w:t>
      </w:r>
    </w:p>
    <w:bookmarkEnd w:id="0"/>
    <w:p>
      <w:pPr>
        <w:jc w:val="center"/>
        <w:rPr>
          <w:rFonts w:ascii="黑体" w:hAnsi="黑体" w:eastAsia="黑体" w:cs="黑体"/>
          <w:color w:val="000000"/>
          <w:sz w:val="44"/>
          <w:szCs w:val="44"/>
        </w:rPr>
      </w:pPr>
      <w:r>
        <w:rPr>
          <w:rFonts w:hint="eastAsia" w:ascii="黑体" w:hAnsi="黑体" w:eastAsia="黑体" w:cs="黑体"/>
          <w:color w:val="000000"/>
          <w:sz w:val="44"/>
          <w:szCs w:val="44"/>
          <w:lang w:val="en-US" w:eastAsia="zh-CN"/>
        </w:rPr>
        <w:t>2020</w:t>
      </w:r>
      <w:r>
        <w:rPr>
          <w:rFonts w:hint="eastAsia" w:ascii="黑体" w:hAnsi="黑体" w:eastAsia="黑体" w:cs="黑体"/>
          <w:color w:val="000000"/>
          <w:sz w:val="44"/>
          <w:szCs w:val="44"/>
        </w:rPr>
        <w:t>年度部门决算报表填报说明</w:t>
      </w:r>
    </w:p>
    <w:p>
      <w:pPr>
        <w:jc w:val="center"/>
        <w:rPr>
          <w:rFonts w:ascii="黑体" w:hAnsi="黑体" w:eastAsia="黑体" w:cs="黑体"/>
          <w:color w:val="000000"/>
          <w:sz w:val="44"/>
          <w:szCs w:val="44"/>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资产、人事台账及相关统计资料填列，其中：“资产情况表”、“国有资产收益征缴情况表”依据本单位资产相关会计账簿数据、固定资产管理系统相关数据及有关统计资料填列；“基本数据表”“机构人员情况表”依据本单位人事台账相关资料填列；“非税收入征缴情况表”依据本单位非税收入台账及相关统计资料填列。</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二、决算</w:t>
      </w:r>
      <w:r>
        <w:rPr>
          <w:rFonts w:hint="eastAsia" w:ascii="黑体" w:hAnsi="黑体" w:eastAsia="黑体" w:cs="黑体"/>
          <w:sz w:val="32"/>
          <w:szCs w:val="32"/>
        </w:rPr>
        <w:t>编制</w:t>
      </w:r>
      <w:r>
        <w:rPr>
          <w:rFonts w:hint="eastAsia" w:ascii="黑体" w:hAnsi="黑体" w:eastAsia="黑体" w:cs="黑体"/>
          <w:color w:val="000000"/>
          <w:sz w:val="32"/>
          <w:szCs w:val="32"/>
        </w:rPr>
        <w:t>基本情况</w:t>
      </w:r>
    </w:p>
    <w:p>
      <w:pPr>
        <w:ind w:firstLine="567"/>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本单位为</w:t>
      </w:r>
      <w:r>
        <w:rPr>
          <w:rFonts w:hint="eastAsia" w:ascii="仿宋_GB2312" w:hAnsi="仿宋" w:eastAsia="仿宋_GB2312" w:cs="仿宋"/>
          <w:bCs/>
          <w:color w:val="000000"/>
          <w:sz w:val="32"/>
          <w:szCs w:val="32"/>
          <w:lang w:eastAsia="zh-CN"/>
        </w:rPr>
        <w:t>一</w:t>
      </w:r>
      <w:r>
        <w:rPr>
          <w:rFonts w:hint="eastAsia" w:ascii="仿宋_GB2312" w:hAnsi="仿宋" w:eastAsia="仿宋_GB2312" w:cs="仿宋"/>
          <w:bCs/>
          <w:color w:val="000000"/>
          <w:sz w:val="32"/>
          <w:szCs w:val="32"/>
        </w:rPr>
        <w:t>级</w:t>
      </w:r>
      <w:r>
        <w:rPr>
          <w:rFonts w:hint="eastAsia" w:ascii="仿宋_GB2312" w:hAnsi="仿宋" w:eastAsia="仿宋_GB2312" w:cs="仿宋"/>
          <w:bCs/>
          <w:color w:val="000000"/>
          <w:spacing w:val="14"/>
          <w:sz w:val="32"/>
          <w:szCs w:val="32"/>
        </w:rPr>
        <w:t>预算单位，单位性质</w:t>
      </w:r>
      <w:r>
        <w:rPr>
          <w:rFonts w:hint="eastAsia" w:ascii="仿宋_GB2312" w:hAnsi="仿宋" w:eastAsia="仿宋_GB2312" w:cs="仿宋"/>
          <w:bCs/>
          <w:color w:val="000000"/>
          <w:sz w:val="32"/>
          <w:szCs w:val="32"/>
        </w:rPr>
        <w:t>财政补助事业单位决算编报类型为单户表，按照</w:t>
      </w:r>
      <w:r>
        <w:rPr>
          <w:rFonts w:hint="eastAsia" w:ascii="仿宋_GB2312" w:hAnsi="仿宋" w:eastAsia="仿宋_GB2312" w:cs="仿宋"/>
          <w:bCs/>
          <w:color w:val="000000"/>
          <w:sz w:val="32"/>
          <w:szCs w:val="32"/>
          <w:lang w:eastAsia="zh-CN"/>
        </w:rPr>
        <w:t>政府</w:t>
      </w:r>
      <w:r>
        <w:rPr>
          <w:rFonts w:hint="eastAsia" w:ascii="仿宋_GB2312" w:hAnsi="仿宋" w:eastAsia="仿宋_GB2312" w:cs="仿宋"/>
          <w:bCs/>
          <w:color w:val="000000"/>
          <w:sz w:val="32"/>
          <w:szCs w:val="32"/>
        </w:rPr>
        <w:t>会计制度填报决算数据。</w:t>
      </w:r>
    </w:p>
    <w:p>
      <w:pPr>
        <w:ind w:firstLine="567"/>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纳入本套决算编制范围的独立核算单位共1个，与上年相比不变。</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Times New Roman"/>
          <w:color w:val="000000"/>
          <w:sz w:val="32"/>
          <w:szCs w:val="32"/>
          <w:lang w:val="en-US" w:eastAsia="zh-CN"/>
        </w:rPr>
        <w:t>3339.7977</w:t>
      </w:r>
      <w:r>
        <w:rPr>
          <w:rFonts w:hint="eastAsia" w:ascii="仿宋_GB2312" w:hAnsi="仿宋" w:eastAsia="仿宋_GB2312" w:cs="仿宋"/>
          <w:color w:val="000000"/>
          <w:sz w:val="32"/>
          <w:szCs w:val="32"/>
        </w:rPr>
        <w:t>万元，财政部门拨款对账单</w:t>
      </w:r>
      <w:r>
        <w:rPr>
          <w:rFonts w:hint="eastAsia" w:ascii="仿宋_GB2312" w:hAnsi="仿宋" w:eastAsia="仿宋_GB2312" w:cs="Times New Roman"/>
          <w:color w:val="000000"/>
          <w:sz w:val="32"/>
          <w:szCs w:val="32"/>
          <w:lang w:val="en-US" w:eastAsia="zh-CN"/>
        </w:rPr>
        <w:t>3339.7977</w:t>
      </w:r>
      <w:r>
        <w:rPr>
          <w:rFonts w:hint="eastAsia" w:ascii="仿宋_GB2312" w:hAnsi="仿宋" w:eastAsia="仿宋_GB2312" w:cs="仿宋"/>
          <w:color w:val="000000"/>
          <w:sz w:val="32"/>
          <w:szCs w:val="32"/>
        </w:rPr>
        <w:t>万元，核对</w:t>
      </w:r>
      <w:r>
        <w:rPr>
          <w:rFonts w:hint="eastAsia" w:ascii="仿宋_GB2312" w:hAnsi="仿宋" w:eastAsia="仿宋_GB2312" w:cs="仿宋"/>
          <w:color w:val="000000"/>
          <w:sz w:val="32"/>
          <w:szCs w:val="32"/>
          <w:lang w:eastAsia="zh-CN"/>
        </w:rPr>
        <w:t>一致</w:t>
      </w:r>
      <w:r>
        <w:rPr>
          <w:rFonts w:hint="eastAsia" w:ascii="仿宋_GB2312" w:hAnsi="仿宋" w:eastAsia="仿宋_GB2312" w:cs="仿宋"/>
          <w:color w:val="000000"/>
          <w:sz w:val="32"/>
          <w:szCs w:val="32"/>
        </w:rPr>
        <w:t>。</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rPr>
        <w:t>0</w:t>
      </w:r>
      <w:r>
        <w:rPr>
          <w:rFonts w:hint="eastAsia" w:ascii="仿宋_GB2312" w:hAnsi="仿宋" w:eastAsia="仿宋_GB2312" w:cs="仿宋"/>
          <w:color w:val="000000"/>
          <w:sz w:val="32"/>
          <w:szCs w:val="32"/>
        </w:rPr>
        <w:t>万元，差额</w:t>
      </w:r>
      <w:r>
        <w:rPr>
          <w:rFonts w:hint="eastAsia" w:ascii="仿宋_GB2312" w:hAnsi="仿宋" w:eastAsia="仿宋_GB2312" w:cs="Times New Roman"/>
          <w:color w:val="000000"/>
          <w:sz w:val="32"/>
          <w:szCs w:val="32"/>
        </w:rPr>
        <w:t>0</w:t>
      </w:r>
      <w:r>
        <w:rPr>
          <w:rFonts w:hint="eastAsia" w:ascii="仿宋_GB2312" w:hAnsi="仿宋" w:eastAsia="仿宋_GB2312" w:cs="仿宋"/>
          <w:color w:val="000000"/>
          <w:sz w:val="32"/>
          <w:szCs w:val="32"/>
        </w:rPr>
        <w:t>万元。</w:t>
      </w:r>
    </w:p>
    <w:p>
      <w:pPr>
        <w:ind w:firstLine="709"/>
        <w:rPr>
          <w:rFonts w:ascii="仿宋_GB2312" w:hAnsi="仿宋" w:eastAsia="仿宋_GB2312" w:cs="Times New Roman"/>
          <w:b/>
          <w:color w:val="auto"/>
          <w:sz w:val="32"/>
          <w:szCs w:val="32"/>
        </w:rPr>
      </w:pPr>
      <w:r>
        <w:rPr>
          <w:rFonts w:hint="eastAsia" w:ascii="仿宋_GB2312" w:hAnsi="仿宋" w:eastAsia="仿宋_GB2312" w:cs="仿宋"/>
          <w:b/>
          <w:color w:val="auto"/>
          <w:sz w:val="32"/>
          <w:szCs w:val="32"/>
        </w:rPr>
        <w:t>2．</w:t>
      </w:r>
      <w:r>
        <w:rPr>
          <w:rFonts w:hint="eastAsia" w:ascii="仿宋_GB2312" w:hAnsi="仿宋" w:eastAsia="仿宋_GB2312" w:cs="仿宋"/>
          <w:b/>
          <w:color w:val="auto"/>
          <w:sz w:val="32"/>
          <w:szCs w:val="32"/>
          <w:lang w:eastAsia="zh-CN"/>
        </w:rPr>
        <w:t>非税收入</w:t>
      </w:r>
      <w:r>
        <w:rPr>
          <w:rFonts w:hint="eastAsia" w:ascii="仿宋_GB2312" w:hAnsi="仿宋" w:eastAsia="仿宋_GB2312" w:cs="仿宋"/>
          <w:b/>
          <w:color w:val="auto"/>
          <w:sz w:val="32"/>
          <w:szCs w:val="32"/>
        </w:rPr>
        <w:t>资金核对情况。</w:t>
      </w:r>
    </w:p>
    <w:p>
      <w:pPr>
        <w:ind w:firstLine="709"/>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（1）单位本年度缴入</w:t>
      </w:r>
      <w:r>
        <w:rPr>
          <w:rFonts w:hint="eastAsia" w:ascii="仿宋_GB2312" w:hAnsi="仿宋" w:eastAsia="仿宋_GB2312" w:cs="仿宋"/>
          <w:color w:val="auto"/>
          <w:sz w:val="32"/>
          <w:szCs w:val="32"/>
          <w:lang w:eastAsia="zh-CN"/>
        </w:rPr>
        <w:t>国库</w:t>
      </w:r>
      <w:r>
        <w:rPr>
          <w:rFonts w:hint="eastAsia" w:ascii="仿宋_GB2312" w:hAnsi="仿宋" w:eastAsia="仿宋_GB2312" w:cs="Times New Roman"/>
          <w:color w:val="auto"/>
          <w:sz w:val="32"/>
          <w:szCs w:val="32"/>
          <w:lang w:val="en-US" w:eastAsia="zh-CN"/>
        </w:rPr>
        <w:t>675.3773</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其中已缴国库</w:t>
      </w:r>
      <w:r>
        <w:rPr>
          <w:rFonts w:hint="eastAsia" w:ascii="仿宋_GB2312" w:hAnsi="仿宋" w:eastAsia="仿宋_GB2312" w:cs="仿宋"/>
          <w:color w:val="auto"/>
          <w:sz w:val="32"/>
          <w:szCs w:val="32"/>
          <w:lang w:val="en-US" w:eastAsia="zh-CN"/>
        </w:rPr>
        <w:t>674.7273万元，应缴未缴国库0.65万元，</w:t>
      </w:r>
      <w:r>
        <w:rPr>
          <w:rFonts w:hint="eastAsia" w:ascii="仿宋_GB2312" w:hAnsi="仿宋" w:eastAsia="仿宋_GB2312" w:cs="仿宋"/>
          <w:color w:val="auto"/>
          <w:sz w:val="32"/>
          <w:szCs w:val="32"/>
          <w:lang w:eastAsia="zh-CN"/>
        </w:rPr>
        <w:t>已缴国库部分与</w:t>
      </w:r>
      <w:r>
        <w:rPr>
          <w:rFonts w:hint="eastAsia" w:ascii="仿宋_GB2312" w:hAnsi="仿宋" w:eastAsia="仿宋_GB2312" w:cs="仿宋"/>
          <w:color w:val="auto"/>
          <w:sz w:val="32"/>
          <w:szCs w:val="32"/>
        </w:rPr>
        <w:t>财政部门缴款对账单核对一致。</w:t>
      </w:r>
      <w:r>
        <w:rPr>
          <w:rFonts w:hint="eastAsia" w:ascii="仿宋_GB2312" w:hAnsi="仿宋" w:eastAsia="仿宋_GB2312" w:cs="仿宋"/>
          <w:color w:val="auto"/>
          <w:sz w:val="32"/>
          <w:szCs w:val="32"/>
          <w:lang w:val="en-US" w:eastAsia="zh-CN"/>
        </w:rPr>
        <w:t>2021年1月已及时将应缴未缴国库0.65万元缴入国库。</w:t>
      </w:r>
    </w:p>
    <w:p>
      <w:pPr>
        <w:ind w:firstLine="709"/>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）单位本年度财政专户</w:t>
      </w:r>
      <w:r>
        <w:rPr>
          <w:rFonts w:hint="eastAsia" w:ascii="仿宋_GB2312" w:hAnsi="仿宋" w:eastAsia="仿宋_GB2312" w:cs="仿宋"/>
          <w:bCs/>
          <w:color w:val="auto"/>
          <w:sz w:val="32"/>
          <w:szCs w:val="32"/>
        </w:rPr>
        <w:t>管理</w:t>
      </w:r>
      <w:r>
        <w:rPr>
          <w:rFonts w:hint="eastAsia" w:ascii="仿宋_GB2312" w:hAnsi="仿宋" w:eastAsia="仿宋_GB2312" w:cs="仿宋"/>
          <w:color w:val="auto"/>
          <w:sz w:val="32"/>
          <w:szCs w:val="32"/>
        </w:rPr>
        <w:t>资金收入</w:t>
      </w:r>
      <w:r>
        <w:rPr>
          <w:rFonts w:hint="eastAsia" w:ascii="仿宋_GB2312" w:hAnsi="仿宋" w:eastAsia="仿宋_GB2312" w:cs="Times New Roman"/>
          <w:color w:val="auto"/>
          <w:sz w:val="32"/>
          <w:szCs w:val="32"/>
        </w:rPr>
        <w:t>0</w:t>
      </w:r>
      <w:r>
        <w:rPr>
          <w:rFonts w:hint="eastAsia" w:ascii="仿宋_GB2312" w:hAnsi="仿宋" w:eastAsia="仿宋_GB2312" w:cs="仿宋"/>
          <w:color w:val="auto"/>
          <w:sz w:val="32"/>
          <w:szCs w:val="32"/>
        </w:rPr>
        <w:t>万元，财政部门财政专户拨款对账单</w:t>
      </w:r>
      <w:r>
        <w:rPr>
          <w:rFonts w:hint="eastAsia" w:ascii="仿宋_GB2312" w:hAnsi="仿宋" w:eastAsia="仿宋_GB2312" w:cs="Times New Roman"/>
          <w:color w:val="auto"/>
          <w:sz w:val="32"/>
          <w:szCs w:val="32"/>
        </w:rPr>
        <w:t>0</w:t>
      </w:r>
      <w:r>
        <w:rPr>
          <w:rFonts w:hint="eastAsia" w:ascii="仿宋_GB2312" w:hAnsi="仿宋" w:eastAsia="仿宋_GB2312" w:cs="仿宋"/>
          <w:color w:val="auto"/>
          <w:sz w:val="32"/>
          <w:szCs w:val="32"/>
        </w:rPr>
        <w:t>万元，差额</w:t>
      </w:r>
      <w:r>
        <w:rPr>
          <w:rFonts w:hint="eastAsia" w:ascii="仿宋_GB2312" w:hAnsi="仿宋" w:eastAsia="仿宋_GB2312" w:cs="Times New Roman"/>
          <w:color w:val="auto"/>
          <w:sz w:val="32"/>
          <w:szCs w:val="32"/>
        </w:rPr>
        <w:t>0</w:t>
      </w:r>
      <w:r>
        <w:rPr>
          <w:rFonts w:hint="eastAsia" w:ascii="仿宋_GB2312" w:hAnsi="仿宋" w:eastAsia="仿宋_GB2312" w:cs="仿宋"/>
          <w:color w:val="auto"/>
          <w:sz w:val="32"/>
          <w:szCs w:val="32"/>
        </w:rPr>
        <w:t>万元。</w:t>
      </w:r>
    </w:p>
    <w:p>
      <w:pPr>
        <w:rPr>
          <w:rFonts w:ascii="楷体_GB2312" w:hAnsi="仿宋" w:eastAsia="楷体_GB2312" w:cs="仿宋"/>
          <w:b/>
          <w:color w:val="FF0000"/>
          <w:sz w:val="32"/>
          <w:szCs w:val="32"/>
        </w:rPr>
      </w:pPr>
    </w:p>
    <w:p>
      <w:pPr>
        <w:ind w:firstLine="643" w:firstLineChars="200"/>
        <w:rPr>
          <w:rFonts w:ascii="楷体_GB2312" w:hAnsi="仿宋" w:eastAsia="楷体_GB2312" w:cs="仿宋"/>
          <w:b/>
          <w:color w:val="auto"/>
          <w:sz w:val="32"/>
          <w:szCs w:val="32"/>
        </w:rPr>
      </w:pPr>
      <w:r>
        <w:rPr>
          <w:rFonts w:hint="eastAsia" w:ascii="楷体_GB2312" w:hAnsi="仿宋" w:eastAsia="楷体_GB2312" w:cs="仿宋"/>
          <w:b/>
          <w:color w:val="auto"/>
          <w:sz w:val="32"/>
          <w:szCs w:val="32"/>
        </w:rPr>
        <w:t>（二）与上年指标核对情况。</w:t>
      </w:r>
    </w:p>
    <w:p>
      <w:pPr>
        <w:ind w:firstLine="709"/>
        <w:rPr>
          <w:rFonts w:hint="default" w:ascii="仿宋_GB2312" w:hAnsi="仿宋" w:eastAsia="仿宋_GB2312" w:cs="仿宋"/>
          <w:color w:val="FF0000"/>
          <w:sz w:val="32"/>
          <w:szCs w:val="32"/>
          <w:lang w:val="en-US"/>
        </w:rPr>
      </w:pPr>
      <w:r>
        <w:rPr>
          <w:rFonts w:hint="eastAsia" w:ascii="仿宋_GB2312" w:hAnsi="仿宋" w:eastAsia="仿宋_GB2312" w:cs="仿宋"/>
          <w:color w:val="auto"/>
          <w:sz w:val="32"/>
          <w:szCs w:val="32"/>
        </w:rPr>
        <w:t>1．全口径、</w:t>
      </w:r>
      <w:r>
        <w:rPr>
          <w:rFonts w:hint="eastAsia" w:ascii="仿宋_GB2312" w:hAnsi="仿宋" w:eastAsia="仿宋_GB2312" w:cs="仿宋"/>
          <w:bCs/>
          <w:color w:val="auto"/>
          <w:sz w:val="32"/>
          <w:szCs w:val="32"/>
        </w:rPr>
        <w:t>一般</w:t>
      </w:r>
      <w:r>
        <w:rPr>
          <w:rFonts w:hint="eastAsia" w:ascii="仿宋_GB2312" w:hAnsi="仿宋" w:eastAsia="仿宋_GB2312" w:cs="仿宋"/>
          <w:color w:val="auto"/>
          <w:sz w:val="32"/>
          <w:szCs w:val="32"/>
        </w:rPr>
        <w:t>公共预算财政拨款、政府性基金预算财政拨款和财政专户管理资金的结转和结余资金本年年初数与上年年末数一致</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2020</w:t>
      </w:r>
      <w:r>
        <w:rPr>
          <w:rFonts w:hint="eastAsia" w:ascii="仿宋_GB2312" w:hAnsi="仿宋" w:eastAsia="仿宋_GB2312" w:cs="仿宋"/>
          <w:color w:val="auto"/>
          <w:sz w:val="32"/>
          <w:szCs w:val="32"/>
        </w:rPr>
        <w:t>年年初全口径结转和结余</w:t>
      </w:r>
      <w:r>
        <w:rPr>
          <w:rFonts w:hint="eastAsia" w:ascii="仿宋_GB2312" w:hAnsi="仿宋" w:eastAsia="仿宋_GB2312" w:cs="仿宋"/>
          <w:color w:val="auto"/>
          <w:sz w:val="32"/>
          <w:szCs w:val="32"/>
          <w:lang w:val="en-US" w:eastAsia="zh-CN"/>
        </w:rPr>
        <w:t>57.6705</w:t>
      </w:r>
      <w:r>
        <w:rPr>
          <w:rFonts w:hint="eastAsia" w:ascii="仿宋_GB2312" w:hAnsi="仿宋" w:eastAsia="仿宋_GB2312" w:cs="仿宋"/>
          <w:color w:val="auto"/>
          <w:sz w:val="32"/>
          <w:szCs w:val="32"/>
        </w:rPr>
        <w:t>万元,与上年年末数</w:t>
      </w:r>
      <w:r>
        <w:rPr>
          <w:rFonts w:hint="eastAsia" w:ascii="仿宋_GB2312" w:hAnsi="仿宋" w:eastAsia="仿宋_GB2312" w:cs="仿宋"/>
          <w:color w:val="auto"/>
          <w:sz w:val="32"/>
          <w:szCs w:val="32"/>
          <w:lang w:eastAsia="zh-CN"/>
        </w:rPr>
        <w:t>一致</w:t>
      </w:r>
      <w:r>
        <w:rPr>
          <w:rFonts w:hint="eastAsia" w:ascii="仿宋_GB2312" w:hAnsi="仿宋" w:eastAsia="仿宋_GB2312" w:cs="仿宋"/>
          <w:color w:val="auto"/>
          <w:sz w:val="32"/>
          <w:szCs w:val="32"/>
          <w:lang w:val="en-US" w:eastAsia="zh-CN"/>
        </w:rPr>
        <w:t>。</w:t>
      </w:r>
    </w:p>
    <w:p>
      <w:pPr>
        <w:ind w:firstLine="709"/>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eastAsia="zh-CN"/>
        </w:rPr>
        <w:t>本年度无</w:t>
      </w:r>
      <w:r>
        <w:rPr>
          <w:rFonts w:hint="eastAsia" w:ascii="仿宋_GB2312" w:hAnsi="仿宋" w:eastAsia="仿宋_GB2312" w:cs="仿宋"/>
          <w:color w:val="auto"/>
          <w:sz w:val="32"/>
          <w:szCs w:val="32"/>
        </w:rPr>
        <w:t>政府性基金预算财政拨款和财政专户管理资金</w:t>
      </w:r>
      <w:r>
        <w:rPr>
          <w:rFonts w:hint="eastAsia" w:ascii="仿宋_GB2312" w:hAnsi="仿宋" w:eastAsia="仿宋_GB2312" w:cs="仿宋"/>
          <w:color w:val="auto"/>
          <w:sz w:val="32"/>
          <w:szCs w:val="32"/>
          <w:lang w:eastAsia="zh-CN"/>
        </w:rPr>
        <w:t>。</w:t>
      </w:r>
    </w:p>
    <w:p>
      <w:pPr>
        <w:numPr>
          <w:ilvl w:val="0"/>
          <w:numId w:val="1"/>
        </w:numPr>
        <w:ind w:firstLine="640" w:firstLineChars="200"/>
        <w:rPr>
          <w:rFonts w:ascii="仿宋_GB2312" w:hAnsi="仿宋" w:eastAsia="仿宋_GB2312" w:cs="仿宋"/>
          <w:color w:val="auto"/>
          <w:sz w:val="32"/>
          <w:szCs w:val="32"/>
        </w:rPr>
      </w:pPr>
      <w:r>
        <w:rPr>
          <w:rFonts w:hint="eastAsia" w:ascii="仿宋_GB2312" w:hAnsi="仿宋" w:eastAsia="仿宋_GB2312" w:cs="Times New Roman"/>
          <w:color w:val="auto"/>
          <w:sz w:val="32"/>
          <w:szCs w:val="32"/>
        </w:rPr>
        <w:t>“</w:t>
      </w:r>
      <w:r>
        <w:rPr>
          <w:rFonts w:hint="eastAsia" w:ascii="仿宋_GB2312" w:hAnsi="仿宋" w:eastAsia="仿宋_GB2312" w:cs="仿宋"/>
          <w:color w:val="auto"/>
          <w:sz w:val="32"/>
          <w:szCs w:val="32"/>
          <w:lang w:eastAsia="zh-CN"/>
        </w:rPr>
        <w:t>预算支出相关信息表</w:t>
      </w:r>
      <w:r>
        <w:rPr>
          <w:rFonts w:hint="eastAsia" w:ascii="仿宋_GB2312" w:hAnsi="仿宋" w:eastAsia="仿宋_GB2312" w:cs="Times New Roman"/>
          <w:color w:val="auto"/>
          <w:sz w:val="32"/>
          <w:szCs w:val="32"/>
        </w:rPr>
        <w:t>”</w:t>
      </w:r>
      <w:r>
        <w:rPr>
          <w:rFonts w:hint="eastAsia" w:ascii="仿宋_GB2312" w:hAnsi="仿宋" w:eastAsia="仿宋_GB2312" w:cs="仿宋"/>
          <w:color w:val="auto"/>
          <w:sz w:val="32"/>
          <w:szCs w:val="32"/>
        </w:rPr>
        <w:t>指标本年年初数与上年年末数一致。</w:t>
      </w:r>
    </w:p>
    <w:p>
      <w:pPr>
        <w:ind w:firstLine="640" w:firstLineChars="200"/>
        <w:rPr>
          <w:rFonts w:ascii="仿宋_GB2312" w:hAnsi="仿宋" w:eastAsia="仿宋_GB2312" w:cs="Times New Roman"/>
          <w:color w:val="auto"/>
          <w:sz w:val="32"/>
          <w:szCs w:val="32"/>
        </w:rPr>
      </w:pPr>
      <w:r>
        <w:rPr>
          <w:rFonts w:hint="eastAsia" w:ascii="仿宋_GB2312" w:hAnsi="仿宋" w:eastAsia="仿宋_GB2312" w:cs="Times New Roman"/>
          <w:color w:val="auto"/>
          <w:sz w:val="32"/>
          <w:szCs w:val="32"/>
        </w:rPr>
        <w:t>3.</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rPr>
        <w:t>主要指标</w:t>
      </w:r>
      <w:r>
        <w:rPr>
          <w:rFonts w:hint="eastAsia" w:ascii="仿宋_GB2312" w:hAnsi="仿宋" w:eastAsia="仿宋_GB2312" w:cs="仿宋"/>
          <w:color w:val="auto"/>
          <w:sz w:val="32"/>
          <w:szCs w:val="32"/>
          <w:lang w:eastAsia="zh-CN"/>
        </w:rPr>
        <w:t>变动表”</w:t>
      </w:r>
      <w:r>
        <w:rPr>
          <w:rFonts w:hint="eastAsia" w:ascii="仿宋_GB2312" w:hAnsi="仿宋" w:eastAsia="仿宋_GB2312" w:cs="仿宋"/>
          <w:color w:val="auto"/>
          <w:sz w:val="32"/>
          <w:szCs w:val="32"/>
        </w:rPr>
        <w:t>上下年变动幅度超过20%以及机构人员指标上下年有变动情况</w:t>
      </w:r>
      <w:r>
        <w:rPr>
          <w:rFonts w:hint="eastAsia" w:ascii="仿宋_GB2312" w:hAnsi="仿宋" w:eastAsia="仿宋_GB2312" w:cs="仿宋"/>
          <w:color w:val="auto"/>
          <w:sz w:val="32"/>
          <w:szCs w:val="32"/>
          <w:lang w:eastAsia="zh-CN"/>
        </w:rPr>
        <w:t>及</w:t>
      </w:r>
      <w:r>
        <w:rPr>
          <w:rFonts w:hint="eastAsia" w:ascii="仿宋_GB2312" w:hAnsi="仿宋" w:eastAsia="仿宋_GB2312" w:cs="仿宋"/>
          <w:color w:val="auto"/>
          <w:sz w:val="32"/>
          <w:szCs w:val="32"/>
        </w:rPr>
        <w:t>说明</w:t>
      </w:r>
      <w:r>
        <w:rPr>
          <w:rFonts w:hint="eastAsia" w:ascii="仿宋_GB2312" w:hAnsi="仿宋" w:eastAsia="仿宋_GB2312" w:cs="仿宋"/>
          <w:color w:val="auto"/>
          <w:sz w:val="32"/>
          <w:szCs w:val="32"/>
          <w:lang w:eastAsia="zh-CN"/>
        </w:rPr>
        <w:t>详见本年度部门决算填报说明附表</w:t>
      </w:r>
      <w:r>
        <w:rPr>
          <w:rFonts w:hint="eastAsia" w:ascii="仿宋_GB2312" w:hAnsi="仿宋" w:eastAsia="仿宋_GB2312" w:cs="仿宋"/>
          <w:color w:val="auto"/>
          <w:sz w:val="32"/>
          <w:szCs w:val="32"/>
          <w:lang w:val="en-US" w:eastAsia="zh-CN"/>
        </w:rPr>
        <w:t>[CS02]</w:t>
      </w:r>
      <w:r>
        <w:rPr>
          <w:rFonts w:hint="eastAsia" w:ascii="仿宋_GB2312" w:hAnsi="仿宋" w:eastAsia="仿宋_GB2312" w:cs="仿宋"/>
          <w:color w:val="auto"/>
          <w:sz w:val="32"/>
          <w:szCs w:val="32"/>
        </w:rPr>
        <w:t>。</w:t>
      </w:r>
    </w:p>
    <w:p>
      <w:pPr>
        <w:ind w:firstLine="640" w:firstLineChars="200"/>
        <w:rPr>
          <w:rFonts w:hint="default" w:ascii="仿宋_GB2312" w:hAnsi="仿宋" w:eastAsia="仿宋_GB2312" w:cs="Times New Roman"/>
          <w:color w:val="auto"/>
          <w:sz w:val="32"/>
          <w:szCs w:val="32"/>
          <w:lang w:val="en-US"/>
        </w:rPr>
      </w:pPr>
      <w:r>
        <w:rPr>
          <w:rFonts w:hint="eastAsia" w:ascii="仿宋_GB2312" w:eastAsia="仿宋_GB2312" w:cs="Times New Roman"/>
          <w:color w:val="auto"/>
          <w:sz w:val="32"/>
          <w:szCs w:val="32"/>
          <w:lang w:val="en-US" w:eastAsia="zh-CN"/>
        </w:rPr>
        <w:t>4.“</w:t>
      </w:r>
      <w:r>
        <w:rPr>
          <w:rFonts w:hint="eastAsia" w:ascii="仿宋_GB2312" w:eastAsia="仿宋_GB2312" w:cs="Times New Roman"/>
          <w:color w:val="auto"/>
          <w:sz w:val="32"/>
          <w:szCs w:val="32"/>
        </w:rPr>
        <w:t>其他收入</w:t>
      </w:r>
      <w:r>
        <w:rPr>
          <w:rFonts w:hint="eastAsia" w:ascii="仿宋_GB2312" w:eastAsia="仿宋_GB2312" w:cs="Times New Roman"/>
          <w:color w:val="auto"/>
          <w:sz w:val="32"/>
          <w:szCs w:val="32"/>
          <w:lang w:eastAsia="zh-CN"/>
        </w:rPr>
        <w:t>等明细情况表”</w:t>
      </w:r>
      <w:r>
        <w:rPr>
          <w:rFonts w:hint="eastAsia" w:ascii="仿宋_GB2312" w:hAnsi="仿宋" w:eastAsia="仿宋_GB2312" w:cs="仿宋"/>
          <w:color w:val="auto"/>
          <w:sz w:val="32"/>
          <w:szCs w:val="32"/>
          <w:lang w:eastAsia="zh-CN"/>
        </w:rPr>
        <w:t>详见本年度部门决算填报说明附表</w:t>
      </w:r>
      <w:r>
        <w:rPr>
          <w:rFonts w:hint="eastAsia" w:ascii="仿宋_GB2312" w:hAnsi="仿宋" w:eastAsia="仿宋_GB2312" w:cs="仿宋"/>
          <w:color w:val="auto"/>
          <w:sz w:val="32"/>
          <w:szCs w:val="32"/>
          <w:lang w:val="en-US" w:eastAsia="zh-CN"/>
        </w:rPr>
        <w:t>[CS03]：年度其他收入0.5068万元，全部为利息收入。</w:t>
      </w:r>
    </w:p>
    <w:p>
      <w:pPr>
        <w:ind w:firstLine="709"/>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5.本年度其他收入0.5068万元，与上年0.6673万元相比减少0.1606万元，下降24.06%，</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2020年银行存款减少，当年利息收入减少。</w:t>
      </w:r>
    </w:p>
    <w:p>
      <w:pPr>
        <w:numPr>
          <w:ilvl w:val="0"/>
          <w:numId w:val="0"/>
        </w:numPr>
        <w:ind w:firstLine="640" w:firstLineChars="200"/>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6.年末结转和结余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eastAsia="仿宋_GB2312" w:cs="Times New Roman"/>
          <w:color w:val="FF0000"/>
          <w:sz w:val="32"/>
          <w:szCs w:val="32"/>
        </w:rPr>
      </w:pPr>
      <w:r>
        <w:rPr>
          <w:rFonts w:hint="eastAsia" w:ascii="仿宋_GB2312" w:eastAsia="仿宋_GB2312" w:cs="Times New Roman"/>
          <w:color w:val="auto"/>
          <w:sz w:val="32"/>
          <w:szCs w:val="32"/>
        </w:rPr>
        <w:t>本年度年末结转和结余</w:t>
      </w:r>
      <w:r>
        <w:rPr>
          <w:rFonts w:hint="eastAsia" w:ascii="仿宋_GB2312" w:eastAsia="仿宋_GB2312" w:cs="Times New Roman"/>
          <w:color w:val="auto"/>
          <w:sz w:val="32"/>
          <w:szCs w:val="32"/>
          <w:lang w:val="en-US" w:eastAsia="zh-CN"/>
        </w:rPr>
        <w:t>42.8663</w:t>
      </w:r>
      <w:r>
        <w:rPr>
          <w:rFonts w:hint="eastAsia" w:ascii="仿宋_GB2312" w:eastAsia="仿宋_GB2312" w:cs="Times New Roman"/>
          <w:color w:val="auto"/>
          <w:sz w:val="32"/>
          <w:szCs w:val="32"/>
        </w:rPr>
        <w:t>万元，与上年</w:t>
      </w:r>
      <w:r>
        <w:rPr>
          <w:rFonts w:hint="eastAsia" w:ascii="仿宋_GB2312" w:eastAsia="仿宋_GB2312" w:cs="Times New Roman"/>
          <w:color w:val="auto"/>
          <w:sz w:val="32"/>
          <w:szCs w:val="32"/>
          <w:lang w:val="en-US" w:eastAsia="zh-CN"/>
        </w:rPr>
        <w:t>56.6705</w:t>
      </w:r>
      <w:r>
        <w:rPr>
          <w:rFonts w:hint="eastAsia" w:ascii="仿宋_GB2312" w:eastAsia="仿宋_GB2312" w:cs="Times New Roman"/>
          <w:color w:val="auto"/>
          <w:sz w:val="32"/>
          <w:szCs w:val="32"/>
        </w:rPr>
        <w:t>万元相比减少</w:t>
      </w:r>
      <w:r>
        <w:rPr>
          <w:rFonts w:hint="eastAsia" w:ascii="仿宋_GB2312" w:eastAsia="仿宋_GB2312" w:cs="Times New Roman"/>
          <w:color w:val="auto"/>
          <w:sz w:val="32"/>
          <w:szCs w:val="32"/>
          <w:lang w:val="en-US" w:eastAsia="zh-CN"/>
        </w:rPr>
        <w:t>14.80424</w:t>
      </w:r>
      <w:r>
        <w:rPr>
          <w:rFonts w:hint="eastAsia" w:ascii="仿宋_GB2312" w:eastAsia="仿宋_GB2312" w:cs="Times New Roman"/>
          <w:color w:val="auto"/>
          <w:sz w:val="32"/>
          <w:szCs w:val="32"/>
        </w:rPr>
        <w:t>万元，</w:t>
      </w:r>
      <w:r>
        <w:rPr>
          <w:rFonts w:hint="eastAsia" w:ascii="仿宋_GB2312" w:eastAsia="仿宋_GB2312" w:cs="Times New Roman"/>
          <w:color w:val="auto"/>
          <w:sz w:val="32"/>
          <w:szCs w:val="32"/>
          <w:lang w:eastAsia="zh-CN"/>
        </w:rPr>
        <w:t>下降</w:t>
      </w:r>
      <w:r>
        <w:rPr>
          <w:rFonts w:hint="eastAsia" w:ascii="仿宋_GB2312" w:eastAsia="仿宋_GB2312" w:cs="Times New Roman"/>
          <w:color w:val="auto"/>
          <w:sz w:val="32"/>
          <w:szCs w:val="32"/>
          <w:lang w:val="en-US" w:eastAsia="zh-CN"/>
        </w:rPr>
        <w:t>25.67</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eastAsia="zh-CN"/>
        </w:rPr>
        <w:t>本年跨年项目</w:t>
      </w:r>
      <w:r>
        <w:rPr>
          <w:rFonts w:hint="eastAsia" w:ascii="仿宋_GB2312" w:eastAsia="仿宋_GB2312" w:cs="Times New Roman"/>
          <w:color w:val="auto"/>
          <w:sz w:val="32"/>
          <w:szCs w:val="32"/>
          <w:lang w:val="en-US" w:eastAsia="zh-CN"/>
        </w:rPr>
        <w:t>资金结转较上年减少。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7.年末资产负债指标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本年货币资金141.4291万元，较上年229.3104万元减少87.8813万元，下降38.32%，</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val="en-US" w:eastAsia="zh-CN"/>
        </w:rPr>
        <w:t>2020年政府购买人员经费不足，从基本户支出。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本年财政应返还额度42.5万元，较上年57.6705万元减少15.1705万元，下降26.31%，</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eastAsia="zh-CN"/>
        </w:rPr>
        <w:t>本年跨年项目</w:t>
      </w:r>
      <w:r>
        <w:rPr>
          <w:rFonts w:hint="eastAsia" w:ascii="仿宋_GB2312" w:eastAsia="仿宋_GB2312" w:cs="Times New Roman"/>
          <w:color w:val="auto"/>
          <w:sz w:val="32"/>
          <w:szCs w:val="32"/>
          <w:lang w:val="en-US" w:eastAsia="zh-CN"/>
        </w:rPr>
        <w:t>资金结转较上年减少。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val="en-US" w:eastAsia="zh-CN"/>
        </w:rPr>
        <w:t>本年房屋价值218.7168万元，较上年294.0017万元减少75.2849万元，下降25.61%，</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eastAsia="zh-CN"/>
        </w:rPr>
        <w:t>上年数为预估值，本年以固定资产管理系统金额为准。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eastAsia="zh-CN"/>
        </w:rPr>
        <w:t>本年应缴财政款</w:t>
      </w:r>
      <w:r>
        <w:rPr>
          <w:rFonts w:hint="eastAsia" w:ascii="仿宋_GB2312" w:eastAsia="仿宋_GB2312" w:cs="Times New Roman"/>
          <w:color w:val="auto"/>
          <w:sz w:val="32"/>
          <w:szCs w:val="32"/>
          <w:lang w:val="en-US" w:eastAsia="zh-CN"/>
        </w:rPr>
        <w:t>0.65万元，较上年2.093万元减少1.443万元，</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val="en-US" w:eastAsia="zh-CN"/>
        </w:rPr>
        <w:t>2020年末应缴未缴财政款较上年减少。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val="en-US" w:eastAsia="zh-CN"/>
        </w:rPr>
        <w:t>本年应付职工薪酬90.4628万元，较上年169.4924万元减少79.0296万元，</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eastAsia="zh-CN"/>
        </w:rPr>
        <w:t>政府购买人员经费不足，从基本户支出。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8.年末机构人员情况</w:t>
      </w:r>
    </w:p>
    <w:p>
      <w:pPr>
        <w:ind w:firstLine="709"/>
        <w:rPr>
          <w:rFonts w:ascii="仿宋_GB2312" w:eastAsia="仿宋_GB2312" w:cs="Times New Roman"/>
          <w:color w:val="auto"/>
          <w:sz w:val="32"/>
          <w:szCs w:val="32"/>
        </w:rPr>
      </w:pPr>
      <w:r>
        <w:rPr>
          <w:rFonts w:hint="eastAsia" w:ascii="仿宋_GB2312" w:eastAsia="仿宋_GB2312" w:cs="Times New Roman"/>
          <w:color w:val="auto"/>
          <w:sz w:val="32"/>
          <w:szCs w:val="32"/>
        </w:rPr>
        <w:t>本年末在职人员</w:t>
      </w:r>
      <w:r>
        <w:rPr>
          <w:rFonts w:hint="eastAsia" w:ascii="仿宋_GB2312" w:eastAsia="仿宋_GB2312" w:cs="Times New Roman"/>
          <w:color w:val="auto"/>
          <w:sz w:val="32"/>
          <w:szCs w:val="32"/>
          <w:lang w:val="en-US" w:eastAsia="zh-CN"/>
        </w:rPr>
        <w:t>52</w:t>
      </w:r>
      <w:r>
        <w:rPr>
          <w:rFonts w:hint="eastAsia" w:ascii="仿宋_GB2312" w:eastAsia="仿宋_GB2312" w:cs="Times New Roman"/>
          <w:color w:val="auto"/>
          <w:sz w:val="32"/>
          <w:szCs w:val="32"/>
        </w:rPr>
        <w:t>人，与上年末相比减少</w:t>
      </w: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rPr>
        <w:t>人，</w:t>
      </w:r>
      <w:r>
        <w:rPr>
          <w:rFonts w:hint="eastAsia" w:ascii="仿宋_GB2312" w:eastAsia="仿宋_GB2312" w:cs="Times New Roman"/>
          <w:color w:val="auto"/>
          <w:sz w:val="32"/>
          <w:szCs w:val="32"/>
          <w:lang w:eastAsia="zh-CN"/>
        </w:rPr>
        <w:t>原因为</w:t>
      </w:r>
      <w:r>
        <w:rPr>
          <w:rFonts w:hint="eastAsia" w:ascii="仿宋_GB2312" w:eastAsia="仿宋_GB2312" w:cs="Times New Roman"/>
          <w:color w:val="auto"/>
          <w:sz w:val="32"/>
          <w:szCs w:val="32"/>
        </w:rPr>
        <w:t>退休</w:t>
      </w:r>
      <w:r>
        <w:rPr>
          <w:rFonts w:hint="eastAsia" w:ascii="仿宋_GB2312" w:eastAsia="仿宋_GB2312" w:cs="Times New Roman"/>
          <w:color w:val="auto"/>
          <w:sz w:val="32"/>
          <w:szCs w:val="32"/>
          <w:lang w:eastAsia="zh-CN"/>
        </w:rPr>
        <w:t>减少</w:t>
      </w:r>
      <w:r>
        <w:rPr>
          <w:rFonts w:hint="eastAsia" w:ascii="仿宋_GB2312" w:eastAsia="仿宋_GB2312" w:cs="Times New Roman"/>
          <w:color w:val="auto"/>
          <w:sz w:val="32"/>
          <w:szCs w:val="32"/>
        </w:rPr>
        <w:t>。</w:t>
      </w:r>
    </w:p>
    <w:p>
      <w:pPr>
        <w:ind w:firstLine="709"/>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年末</w:t>
      </w:r>
      <w:r>
        <w:rPr>
          <w:rFonts w:hint="eastAsia" w:ascii="仿宋_GB2312" w:eastAsia="仿宋_GB2312" w:cs="Times New Roman"/>
          <w:color w:val="auto"/>
          <w:sz w:val="32"/>
          <w:szCs w:val="32"/>
          <w:lang w:eastAsia="zh-CN"/>
        </w:rPr>
        <w:t>其他人员</w:t>
      </w:r>
      <w:r>
        <w:rPr>
          <w:rFonts w:hint="eastAsia" w:ascii="仿宋_GB2312" w:eastAsia="仿宋_GB2312" w:cs="Times New Roman"/>
          <w:color w:val="auto"/>
          <w:sz w:val="32"/>
          <w:szCs w:val="32"/>
        </w:rPr>
        <w:t>人数</w:t>
      </w:r>
      <w:r>
        <w:rPr>
          <w:rFonts w:hint="eastAsia" w:ascii="仿宋_GB2312" w:eastAsia="仿宋_GB2312" w:cs="Times New Roman"/>
          <w:color w:val="auto"/>
          <w:sz w:val="32"/>
          <w:szCs w:val="32"/>
          <w:lang w:val="en-US" w:eastAsia="zh-CN"/>
        </w:rPr>
        <w:t>450</w:t>
      </w:r>
      <w:r>
        <w:rPr>
          <w:rFonts w:hint="eastAsia" w:ascii="仿宋_GB2312" w:eastAsia="仿宋_GB2312" w:cs="Times New Roman"/>
          <w:color w:val="auto"/>
          <w:sz w:val="32"/>
          <w:szCs w:val="32"/>
        </w:rPr>
        <w:t>人，与上年末相比</w:t>
      </w:r>
      <w:r>
        <w:rPr>
          <w:rFonts w:hint="eastAsia" w:ascii="仿宋_GB2312" w:eastAsia="仿宋_GB2312" w:cs="Times New Roman"/>
          <w:color w:val="auto"/>
          <w:sz w:val="32"/>
          <w:szCs w:val="32"/>
          <w:lang w:eastAsia="zh-CN"/>
        </w:rPr>
        <w:t>增加</w:t>
      </w:r>
      <w:r>
        <w:rPr>
          <w:rFonts w:hint="eastAsia" w:ascii="仿宋_GB2312" w:eastAsia="仿宋_GB2312" w:cs="Times New Roman"/>
          <w:color w:val="auto"/>
          <w:sz w:val="32"/>
          <w:szCs w:val="32"/>
          <w:lang w:val="en-US" w:eastAsia="zh-CN"/>
        </w:rPr>
        <w:t>9</w:t>
      </w:r>
      <w:r>
        <w:rPr>
          <w:rFonts w:hint="eastAsia" w:ascii="仿宋_GB2312" w:eastAsia="仿宋_GB2312" w:cs="Times New Roman"/>
          <w:color w:val="auto"/>
          <w:sz w:val="32"/>
          <w:szCs w:val="32"/>
        </w:rPr>
        <w:t>人，</w:t>
      </w:r>
      <w:r>
        <w:rPr>
          <w:rFonts w:hint="eastAsia" w:ascii="仿宋_GB2312" w:eastAsia="仿宋_GB2312" w:cs="Times New Roman"/>
          <w:color w:val="auto"/>
          <w:sz w:val="32"/>
          <w:szCs w:val="32"/>
          <w:lang w:eastAsia="zh-CN"/>
        </w:rPr>
        <w:t>原因为本年度新增政府购买人员</w:t>
      </w:r>
      <w:r>
        <w:rPr>
          <w:rFonts w:hint="eastAsia" w:ascii="仿宋_GB2312" w:eastAsia="仿宋_GB2312" w:cs="Times New Roman"/>
          <w:color w:val="auto"/>
          <w:sz w:val="32"/>
          <w:szCs w:val="32"/>
          <w:lang w:val="en-US" w:eastAsia="zh-CN"/>
        </w:rPr>
        <w:t>9人</w:t>
      </w:r>
      <w:r>
        <w:rPr>
          <w:rFonts w:hint="eastAsia" w:ascii="仿宋_GB2312" w:eastAsia="仿宋_GB2312" w:cs="Times New Roman"/>
          <w:color w:val="auto"/>
          <w:sz w:val="32"/>
          <w:szCs w:val="32"/>
        </w:rPr>
        <w:t>。</w:t>
      </w:r>
    </w:p>
    <w:p>
      <w:pPr>
        <w:numPr>
          <w:ilvl w:val="0"/>
          <w:numId w:val="2"/>
        </w:numPr>
        <w:ind w:firstLine="709"/>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lang w:val="en-US" w:eastAsia="zh-CN"/>
        </w:rPr>
        <w:t>本年房屋面积11401.92平方米，较上年8319.01平方米增加3082.91平方米，上升37.06%，</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eastAsia="zh-CN"/>
        </w:rPr>
        <w:t>房屋资产有变动，以固定资产管理系统数量为准。</w:t>
      </w:r>
    </w:p>
    <w:p>
      <w:pPr>
        <w:numPr>
          <w:ilvl w:val="0"/>
          <w:numId w:val="2"/>
        </w:numPr>
        <w:ind w:firstLine="70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本年培训费0.0075万元，较上年1.26万元减少1.2525万元，下降99.4%，</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val="en-US" w:eastAsia="zh-CN"/>
        </w:rPr>
        <w:t>2020年疫情期间无外出培训活动。</w:t>
      </w:r>
    </w:p>
    <w:p>
      <w:pPr>
        <w:numPr>
          <w:ilvl w:val="0"/>
          <w:numId w:val="2"/>
        </w:numPr>
        <w:ind w:firstLine="70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本年会议费0.25万元，较上年0.48万元减少0.23万元，下降47.92%，</w:t>
      </w:r>
      <w:r>
        <w:rPr>
          <w:rFonts w:hint="eastAsia" w:ascii="仿宋_GB2312" w:eastAsia="仿宋_GB2312" w:cs="Times New Roman"/>
          <w:color w:val="auto"/>
          <w:sz w:val="32"/>
          <w:szCs w:val="32"/>
        </w:rPr>
        <w:t>变动幅度超过20%的原因：</w:t>
      </w:r>
      <w:r>
        <w:rPr>
          <w:rFonts w:hint="eastAsia" w:ascii="仿宋_GB2312" w:eastAsia="仿宋_GB2312" w:cs="Times New Roman"/>
          <w:color w:val="auto"/>
          <w:sz w:val="32"/>
          <w:szCs w:val="32"/>
          <w:lang w:val="en-US" w:eastAsia="zh-CN"/>
        </w:rPr>
        <w:t>2020年疫情期间外出参会人员减少。</w:t>
      </w:r>
    </w:p>
    <w:p>
      <w:pPr>
        <w:numPr>
          <w:ilvl w:val="0"/>
          <w:numId w:val="2"/>
        </w:numPr>
        <w:ind w:left="0" w:leftChars="0" w:firstLine="709" w:firstLineChars="0"/>
        <w:rPr>
          <w:rFonts w:hint="eastAsia" w:ascii="仿宋_GB2312" w:eastAsia="仿宋_GB2312" w:cs="Times New Roman"/>
          <w:color w:val="auto"/>
          <w:sz w:val="32"/>
          <w:szCs w:val="32"/>
        </w:rPr>
      </w:pPr>
      <w:r>
        <w:rPr>
          <w:rFonts w:hint="eastAsia" w:ascii="仿宋_GB2312" w:eastAsia="仿宋_GB2312" w:cs="Times New Roman"/>
          <w:color w:val="auto"/>
          <w:sz w:val="32"/>
          <w:szCs w:val="32"/>
        </w:rPr>
        <w:t>年初预算数</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仿宋_GB2312" w:eastAsia="仿宋_GB2312" w:cs="Times New Roman"/>
          <w:color w:val="FF0000"/>
          <w:sz w:val="32"/>
          <w:szCs w:val="32"/>
          <w:lang w:val="en-US" w:eastAsia="zh-CN"/>
        </w:rPr>
      </w:pPr>
      <w:r>
        <w:rPr>
          <w:rFonts w:hint="eastAsia" w:ascii="仿宋_GB2312" w:eastAsia="仿宋_GB2312" w:cs="Times New Roman"/>
          <w:color w:val="auto"/>
          <w:sz w:val="32"/>
          <w:szCs w:val="32"/>
          <w:lang w:eastAsia="zh-CN"/>
        </w:rPr>
        <w:t>本年年末结转和结余</w:t>
      </w:r>
      <w:r>
        <w:rPr>
          <w:rFonts w:hint="eastAsia" w:ascii="仿宋_GB2312" w:eastAsia="仿宋_GB2312" w:cs="Times New Roman"/>
          <w:color w:val="auto"/>
          <w:sz w:val="32"/>
          <w:szCs w:val="32"/>
          <w:lang w:val="en-US" w:eastAsia="zh-CN"/>
        </w:rPr>
        <w:t>57.6705万元，与上年78.2409万元减少20.5703万元，下降26.29%，变动原因：2020年初结转项目较2019年初减少。</w:t>
      </w:r>
    </w:p>
    <w:p>
      <w:pPr>
        <w:ind w:firstLine="640"/>
        <w:rPr>
          <w:rFonts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13.</w:t>
      </w:r>
      <w:r>
        <w:rPr>
          <w:rFonts w:hint="eastAsia" w:ascii="仿宋_GB2312" w:eastAsia="仿宋_GB2312" w:cs="Times New Roman"/>
          <w:color w:val="auto"/>
          <w:sz w:val="32"/>
          <w:szCs w:val="32"/>
        </w:rPr>
        <w:t>调整预算数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cs="Times New Roman"/>
          <w:color w:val="FF0000"/>
          <w:sz w:val="32"/>
          <w:szCs w:val="32"/>
          <w:lang w:val="en-US"/>
        </w:rPr>
      </w:pPr>
      <w:r>
        <w:rPr>
          <w:rFonts w:hint="eastAsia" w:ascii="仿宋_GB2312" w:eastAsia="仿宋_GB2312" w:cs="Times New Roman"/>
          <w:color w:val="auto"/>
          <w:sz w:val="32"/>
          <w:szCs w:val="32"/>
          <w:lang w:val="en-US" w:eastAsia="zh-CN"/>
        </w:rPr>
        <w:t>2020年调整年末结转和结余42.8663万元，较2019年57.6705万元减少14.8042万元，下降25.67%，变动原因：上年项目结转较今年多。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四、报表审核情况</w:t>
      </w:r>
    </w:p>
    <w:p>
      <w:pPr>
        <w:keepNext w:val="0"/>
        <w:keepLines w:val="0"/>
        <w:pageBreakBefore w:val="0"/>
        <w:widowControl w:val="0"/>
        <w:numPr>
          <w:ilvl w:val="0"/>
          <w:numId w:val="3"/>
        </w:numPr>
        <w:kinsoku/>
        <w:wordWrap/>
        <w:overflowPunct/>
        <w:topLinePunct w:val="0"/>
        <w:autoSpaceDE/>
        <w:autoSpaceDN/>
        <w:bidi w:val="0"/>
        <w:adjustRightInd/>
        <w:snapToGrid/>
        <w:ind w:left="-10" w:leftChars="0" w:firstLine="640" w:firstLineChars="0"/>
        <w:textAlignment w:val="auto"/>
        <w:rPr>
          <w:rFonts w:hint="eastAsia" w:ascii="仿宋_GB2312" w:hAnsi="仿宋" w:eastAsia="仿宋_GB2312" w:cs="仿宋"/>
          <w:color w:val="FF0000"/>
          <w:sz w:val="32"/>
          <w:szCs w:val="32"/>
        </w:rPr>
      </w:pPr>
      <w:r>
        <w:rPr>
          <w:rFonts w:hint="eastAsia" w:ascii="仿宋_GB2312" w:hAnsi="仿宋" w:eastAsia="仿宋_GB2312" w:cs="仿宋"/>
          <w:color w:val="auto"/>
          <w:sz w:val="32"/>
          <w:szCs w:val="32"/>
        </w:rPr>
        <w:t>审核所有报表，包括基本平衡审核公式、核实性审核公式、逻辑性审核公式，</w:t>
      </w:r>
      <w:r>
        <w:rPr>
          <w:rFonts w:hint="eastAsia" w:ascii="仿宋_GB2312" w:hAnsi="仿宋" w:eastAsia="仿宋_GB2312" w:cs="仿宋"/>
          <w:color w:val="auto"/>
          <w:sz w:val="32"/>
          <w:szCs w:val="32"/>
          <w:lang w:eastAsia="zh-CN"/>
        </w:rPr>
        <w:t>不</w:t>
      </w:r>
      <w:r>
        <w:rPr>
          <w:rFonts w:hint="eastAsia" w:ascii="仿宋_GB2312" w:hAnsi="仿宋" w:eastAsia="仿宋_GB2312" w:cs="仿宋"/>
          <w:color w:val="auto"/>
          <w:sz w:val="32"/>
          <w:szCs w:val="32"/>
        </w:rPr>
        <w:t>存在核实性审核问题</w:t>
      </w:r>
      <w:r>
        <w:rPr>
          <w:rFonts w:hint="eastAsia" w:ascii="仿宋_GB2312" w:hAnsi="仿宋" w:eastAsia="仿宋_GB2312" w:cs="仿宋"/>
          <w:color w:val="auto"/>
          <w:sz w:val="32"/>
          <w:szCs w:val="32"/>
          <w:lang w:eastAsia="zh-CN"/>
        </w:rPr>
        <w:t>。</w:t>
      </w:r>
      <w:bookmarkStart w:id="1" w:name="_GoBack"/>
      <w:bookmarkEnd w:id="1"/>
    </w:p>
    <w:p>
      <w:pPr>
        <w:ind w:firstLine="640" w:firstLineChars="200"/>
        <w:rPr>
          <w:rFonts w:ascii="黑体" w:hAnsi="黑体" w:eastAsia="黑体" w:cs="Times New Roman"/>
          <w:color w:val="auto"/>
          <w:sz w:val="32"/>
          <w:szCs w:val="32"/>
        </w:rPr>
      </w:pPr>
      <w:r>
        <w:rPr>
          <w:rFonts w:hint="eastAsia" w:ascii="黑体" w:hAnsi="黑体" w:eastAsia="黑体" w:cs="黑体"/>
          <w:color w:val="auto"/>
          <w:sz w:val="32"/>
          <w:szCs w:val="32"/>
        </w:rPr>
        <w:t>五、决算数据其他需要说明的情况</w:t>
      </w:r>
    </w:p>
    <w:p>
      <w:pPr>
        <w:tabs>
          <w:tab w:val="left" w:pos="879"/>
        </w:tabs>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1．“收入决算表”中其他收入的具体构成情况</w:t>
      </w:r>
    </w:p>
    <w:p>
      <w:pPr>
        <w:tabs>
          <w:tab w:val="left" w:pos="879"/>
        </w:tabs>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“收入决算表”中其他收入为银行利息收入。</w:t>
      </w:r>
    </w:p>
    <w:tbl>
      <w:tblPr>
        <w:tblStyle w:val="5"/>
        <w:tblpPr w:leftFromText="180" w:rightFromText="180" w:vertAnchor="text" w:horzAnchor="page" w:tblpX="1440" w:tblpY="213"/>
        <w:tblOverlap w:val="never"/>
        <w:tblW w:w="10555" w:type="dxa"/>
        <w:tblInd w:w="0" w:type="dxa"/>
        <w:tblLayout w:type="fixed"/>
        <w:tblCellMar>
          <w:top w:w="0" w:type="dxa"/>
          <w:left w:w="108" w:type="dxa"/>
          <w:bottom w:w="0" w:type="dxa"/>
          <w:right w:w="108" w:type="dxa"/>
        </w:tblCellMar>
      </w:tblPr>
      <w:tblGrid>
        <w:gridCol w:w="436"/>
        <w:gridCol w:w="436"/>
        <w:gridCol w:w="436"/>
        <w:gridCol w:w="2268"/>
        <w:gridCol w:w="1735"/>
        <w:gridCol w:w="1680"/>
        <w:gridCol w:w="656"/>
        <w:gridCol w:w="1032"/>
        <w:gridCol w:w="1126"/>
        <w:gridCol w:w="750"/>
      </w:tblGrid>
      <w:tr>
        <w:tblPrEx>
          <w:tblCellMar>
            <w:top w:w="0" w:type="dxa"/>
            <w:left w:w="108" w:type="dxa"/>
            <w:bottom w:w="0" w:type="dxa"/>
            <w:right w:w="108" w:type="dxa"/>
          </w:tblCellMar>
        </w:tblPrEx>
        <w:trPr>
          <w:trHeight w:val="308" w:hRule="atLeast"/>
        </w:trPr>
        <w:tc>
          <w:tcPr>
            <w:tcW w:w="357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w:t>
            </w:r>
          </w:p>
        </w:tc>
        <w:tc>
          <w:tcPr>
            <w:tcW w:w="173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利息收入</w:t>
            </w:r>
          </w:p>
        </w:tc>
        <w:tc>
          <w:tcPr>
            <w:tcW w:w="65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捐赠收入</w:t>
            </w:r>
          </w:p>
        </w:tc>
        <w:tc>
          <w:tcPr>
            <w:tcW w:w="1032"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事业单位固定资产出租收入</w:t>
            </w:r>
          </w:p>
        </w:tc>
        <w:tc>
          <w:tcPr>
            <w:tcW w:w="112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其他</w:t>
            </w:r>
          </w:p>
        </w:tc>
        <w:tc>
          <w:tcPr>
            <w:tcW w:w="750" w:type="dxa"/>
            <w:vMerge w:val="restart"/>
            <w:tcBorders>
              <w:top w:val="single" w:color="000000" w:sz="4" w:space="0"/>
              <w:left w:val="nil"/>
              <w:bottom w:val="single" w:color="000000" w:sz="4" w:space="0"/>
              <w:right w:val="single" w:color="000000" w:sz="8"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备注</w:t>
            </w:r>
          </w:p>
        </w:tc>
      </w:tr>
      <w:tr>
        <w:tblPrEx>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支出功能分类科目编码</w:t>
            </w:r>
          </w:p>
        </w:tc>
        <w:tc>
          <w:tcPr>
            <w:tcW w:w="2268"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0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75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0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75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600" w:hRule="atLeast"/>
        </w:trPr>
        <w:tc>
          <w:tcPr>
            <w:tcW w:w="13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73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65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03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1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750" w:type="dxa"/>
            <w:vMerge w:val="continue"/>
            <w:tcBorders>
              <w:top w:val="single" w:color="000000" w:sz="4" w:space="0"/>
              <w:left w:val="nil"/>
              <w:bottom w:val="single" w:color="000000" w:sz="4" w:space="0"/>
              <w:right w:val="single" w:color="000000" w:sz="8"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w:t>
            </w:r>
          </w:p>
        </w:tc>
        <w:tc>
          <w:tcPr>
            <w:tcW w:w="22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栏次</w:t>
            </w:r>
          </w:p>
        </w:tc>
        <w:tc>
          <w:tcPr>
            <w:tcW w:w="1735"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6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65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103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112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750"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43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2"/>
                <w:szCs w:val="22"/>
              </w:rPr>
            </w:pPr>
          </w:p>
        </w:tc>
        <w:tc>
          <w:tcPr>
            <w:tcW w:w="226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5,067.54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lang w:val="en-US" w:eastAsia="zh-CN"/>
              </w:rPr>
              <w:t>5,067.54</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212</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城乡社区支出</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5,067.54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5,067.54</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21205</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城乡社区环境卫生</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5,067.54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lang w:val="en-US" w:eastAsia="zh-CN"/>
              </w:rPr>
              <w:t>5,067.54</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2120501</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城乡社区环境卫生</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rPr>
              <w:t>5,067.54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5,067.54</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0.00</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26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03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750" w:type="dxa"/>
            <w:tcBorders>
              <w:top w:val="nil"/>
              <w:left w:val="nil"/>
              <w:bottom w:val="single" w:color="000000" w:sz="4"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308" w:hRule="atLeast"/>
        </w:trPr>
        <w:tc>
          <w:tcPr>
            <w:tcW w:w="1308" w:type="dxa"/>
            <w:gridSpan w:val="3"/>
            <w:tcBorders>
              <w:top w:val="nil"/>
              <w:left w:val="single" w:color="000000" w:sz="4" w:space="0"/>
              <w:bottom w:val="single" w:color="000000" w:sz="8"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268" w:type="dxa"/>
            <w:tcBorders>
              <w:top w:val="nil"/>
              <w:left w:val="nil"/>
              <w:bottom w:val="single" w:color="000000" w:sz="8" w:space="0"/>
              <w:right w:val="single" w:color="000000" w:sz="4"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35"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680"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032"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112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22"/>
                <w:szCs w:val="22"/>
              </w:rPr>
            </w:pPr>
            <w:r>
              <w:rPr>
                <w:rFonts w:hint="eastAsia" w:ascii="宋体" w:hAnsi="宋体" w:cs="Arial"/>
                <w:color w:val="auto"/>
                <w:kern w:val="0"/>
                <w:sz w:val="22"/>
                <w:szCs w:val="22"/>
              </w:rPr>
              <w:t>　</w:t>
            </w:r>
          </w:p>
        </w:tc>
        <w:tc>
          <w:tcPr>
            <w:tcW w:w="750" w:type="dxa"/>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r>
    </w:tbl>
    <w:p>
      <w:pPr>
        <w:tabs>
          <w:tab w:val="left" w:pos="879"/>
        </w:tabs>
        <w:ind w:firstLine="640" w:firstLineChars="200"/>
        <w:rPr>
          <w:rFonts w:ascii="仿宋_GB2312" w:hAnsi="仿宋" w:eastAsia="仿宋_GB2312" w:cs="仿宋"/>
          <w:color w:val="FF0000"/>
          <w:sz w:val="32"/>
          <w:szCs w:val="32"/>
        </w:rPr>
      </w:pPr>
    </w:p>
    <w:p>
      <w:pPr>
        <w:tabs>
          <w:tab w:val="left" w:pos="879"/>
        </w:tabs>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2.“项目支出决算明细表”中列支“工资福利支出”和“对个人和家庭的补助”的依据及说明。</w:t>
      </w:r>
    </w:p>
    <w:p>
      <w:pPr>
        <w:ind w:left="420" w:leftChars="200" w:firstLine="640" w:firstLineChars="200"/>
        <w:rPr>
          <w:rFonts w:ascii="仿宋_GB2312" w:hAnsi="仿宋" w:eastAsia="仿宋_GB2312" w:cs="仿宋"/>
          <w:color w:val="FF0000"/>
          <w:sz w:val="32"/>
          <w:szCs w:val="32"/>
        </w:rPr>
      </w:pPr>
      <w:r>
        <w:rPr>
          <w:rFonts w:hint="eastAsia" w:ascii="仿宋_GB2312" w:hAnsi="仿宋" w:eastAsia="仿宋_GB2312" w:cs="仿宋"/>
          <w:color w:val="auto"/>
          <w:sz w:val="32"/>
          <w:szCs w:val="32"/>
        </w:rPr>
        <w:t>“项目支出决算明细表”中列支“工资福利支出”为长期聘用签订劳务协议人员的工资福利，包括基本工资</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五险一金等社会保障费</w:t>
      </w:r>
      <w:r>
        <w:rPr>
          <w:rFonts w:hint="eastAsia" w:ascii="仿宋_GB2312" w:hAnsi="仿宋" w:eastAsia="仿宋_GB2312" w:cs="仿宋"/>
          <w:color w:val="auto"/>
          <w:sz w:val="32"/>
          <w:szCs w:val="32"/>
          <w:lang w:eastAsia="zh-CN"/>
        </w:rPr>
        <w:t>、节假日加班费及高温补贴</w:t>
      </w:r>
      <w:r>
        <w:rPr>
          <w:rFonts w:hint="eastAsia" w:ascii="仿宋_GB2312" w:hAnsi="仿宋" w:eastAsia="仿宋_GB2312" w:cs="仿宋"/>
          <w:color w:val="auto"/>
          <w:sz w:val="32"/>
          <w:szCs w:val="32"/>
        </w:rPr>
        <w:t>。</w:t>
      </w:r>
    </w:p>
    <w:p>
      <w:pPr>
        <w:ind w:firstLine="709"/>
        <w:rPr>
          <w:rFonts w:ascii="仿宋_GB2312" w:hAnsi="仿宋" w:eastAsia="仿宋_GB2312" w:cs="Times New Roman"/>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.“三公”经费总额及分项金额与年初预算数、上年决算数对比变动的原因说明，以及相关的公务用车购置及保有量、因公出国（境）团组数及人数和公务接待批次及人数等情况</w:t>
      </w:r>
      <w:r>
        <w:rPr>
          <w:rFonts w:hint="eastAsia" w:ascii="仿宋_GB2312" w:hAnsi="仿宋" w:eastAsia="仿宋_GB2312" w:cs="仿宋"/>
          <w:color w:val="auto"/>
          <w:sz w:val="32"/>
          <w:szCs w:val="32"/>
          <w:lang w:eastAsia="zh-CN"/>
        </w:rPr>
        <w:t>，详见部门决算（附表）的“机构运行信息表”</w:t>
      </w:r>
      <w:r>
        <w:rPr>
          <w:rFonts w:hint="eastAsia" w:ascii="仿宋_GB2312" w:hAnsi="仿宋" w:eastAsia="仿宋_GB2312" w:cs="仿宋"/>
          <w:color w:val="auto"/>
          <w:sz w:val="32"/>
          <w:szCs w:val="32"/>
        </w:rPr>
        <w:t>。</w:t>
      </w:r>
    </w:p>
    <w:p>
      <w:pPr>
        <w:ind w:firstLine="640"/>
        <w:rPr>
          <w:rFonts w:hint="default" w:ascii="Calibri" w:hAnsi="Calibri" w:eastAsia="仿宋_GB2312" w:cs="Calibri"/>
          <w:color w:val="auto"/>
          <w:sz w:val="32"/>
          <w:szCs w:val="32"/>
          <w:lang w:eastAsia="zh-CN"/>
        </w:rPr>
      </w:pPr>
      <w:r>
        <w:rPr>
          <w:rFonts w:hint="eastAsia" w:ascii="仿宋_GB2312" w:eastAsia="仿宋_GB2312" w:cs="Times New Roman"/>
          <w:color w:val="auto"/>
          <w:sz w:val="32"/>
          <w:szCs w:val="32"/>
          <w:lang w:val="en-US" w:eastAsia="zh-CN"/>
        </w:rPr>
        <w:t>2020</w:t>
      </w:r>
      <w:r>
        <w:rPr>
          <w:rFonts w:hint="eastAsia" w:ascii="仿宋_GB2312" w:eastAsia="仿宋_GB2312" w:cs="Times New Roman"/>
          <w:color w:val="auto"/>
          <w:sz w:val="32"/>
          <w:szCs w:val="32"/>
        </w:rPr>
        <w:t>年度“三公”经费支出</w:t>
      </w:r>
      <w:r>
        <w:rPr>
          <w:rFonts w:hint="eastAsia" w:ascii="仿宋_GB2312" w:eastAsia="仿宋_GB2312" w:cs="Times New Roman"/>
          <w:color w:val="auto"/>
          <w:sz w:val="32"/>
          <w:szCs w:val="32"/>
          <w:lang w:val="en-US" w:eastAsia="zh-CN"/>
        </w:rPr>
        <w:t>2.9306</w:t>
      </w:r>
      <w:r>
        <w:rPr>
          <w:rFonts w:hint="eastAsia" w:ascii="仿宋_GB2312" w:eastAsia="仿宋_GB2312" w:cs="Times New Roman"/>
          <w:color w:val="auto"/>
          <w:sz w:val="32"/>
          <w:szCs w:val="32"/>
        </w:rPr>
        <w:t>万元，与上年</w:t>
      </w:r>
      <w:r>
        <w:rPr>
          <w:rFonts w:hint="eastAsia" w:ascii="仿宋_GB2312" w:eastAsia="仿宋_GB2312" w:cs="Times New Roman"/>
          <w:color w:val="auto"/>
          <w:sz w:val="32"/>
          <w:szCs w:val="32"/>
          <w:lang w:val="en-US" w:eastAsia="zh-CN"/>
        </w:rPr>
        <w:t>3.3875</w:t>
      </w:r>
      <w:r>
        <w:rPr>
          <w:rFonts w:hint="eastAsia" w:ascii="仿宋_GB2312" w:eastAsia="仿宋_GB2312" w:cs="Times New Roman"/>
          <w:color w:val="auto"/>
          <w:sz w:val="32"/>
          <w:szCs w:val="32"/>
        </w:rPr>
        <w:t>万元相比</w:t>
      </w:r>
      <w:r>
        <w:rPr>
          <w:rFonts w:hint="eastAsia" w:ascii="仿宋_GB2312" w:eastAsia="仿宋_GB2312" w:cs="Times New Roman"/>
          <w:color w:val="auto"/>
          <w:sz w:val="32"/>
          <w:szCs w:val="32"/>
          <w:lang w:eastAsia="zh-CN"/>
        </w:rPr>
        <w:t>减少</w:t>
      </w:r>
      <w:r>
        <w:rPr>
          <w:rFonts w:hint="eastAsia" w:ascii="仿宋_GB2312" w:eastAsia="仿宋_GB2312" w:cs="Times New Roman"/>
          <w:color w:val="auto"/>
          <w:sz w:val="32"/>
          <w:szCs w:val="32"/>
          <w:lang w:val="en-US" w:eastAsia="zh-CN"/>
        </w:rPr>
        <w:t>0.4567</w:t>
      </w:r>
      <w:r>
        <w:rPr>
          <w:rFonts w:hint="eastAsia" w:ascii="仿宋_GB2312" w:eastAsia="仿宋_GB2312" w:cs="Times New Roman"/>
          <w:color w:val="auto"/>
          <w:sz w:val="32"/>
          <w:szCs w:val="32"/>
        </w:rPr>
        <w:t>万元，</w:t>
      </w:r>
      <w:r>
        <w:rPr>
          <w:rFonts w:hint="eastAsia" w:ascii="仿宋_GB2312" w:eastAsia="仿宋_GB2312" w:cs="Times New Roman"/>
          <w:color w:val="auto"/>
          <w:sz w:val="32"/>
          <w:szCs w:val="32"/>
          <w:lang w:eastAsia="zh-CN"/>
        </w:rPr>
        <w:t>下降</w:t>
      </w:r>
      <w:r>
        <w:rPr>
          <w:rFonts w:hint="eastAsia" w:ascii="仿宋_GB2312" w:eastAsia="仿宋_GB2312" w:cs="Times New Roman"/>
          <w:color w:val="auto"/>
          <w:sz w:val="32"/>
          <w:szCs w:val="32"/>
          <w:lang w:val="en-US" w:eastAsia="zh-CN"/>
        </w:rPr>
        <w:t>13.49</w:t>
      </w:r>
      <w:r>
        <w:rPr>
          <w:rFonts w:hint="eastAsia" w:ascii="仿宋_GB2312" w:eastAsia="仿宋_GB2312" w:cs="Times New Roman"/>
          <w:color w:val="auto"/>
          <w:sz w:val="32"/>
          <w:szCs w:val="32"/>
        </w:rPr>
        <w:t>%，变动的主要原因：</w:t>
      </w:r>
      <w:r>
        <w:rPr>
          <w:rFonts w:hint="default" w:ascii="Calibri" w:hAnsi="Calibri" w:eastAsia="仿宋_GB2312" w:cs="Calibri"/>
          <w:color w:val="auto"/>
          <w:sz w:val="32"/>
          <w:szCs w:val="32"/>
        </w:rPr>
        <w:t>①</w:t>
      </w:r>
      <w:r>
        <w:rPr>
          <w:rFonts w:hint="eastAsia" w:eastAsia="仿宋_GB2312" w:cs="Calibri"/>
          <w:color w:val="auto"/>
          <w:sz w:val="32"/>
          <w:szCs w:val="32"/>
          <w:lang w:val="en-US" w:eastAsia="zh-CN"/>
        </w:rPr>
        <w:t>2020年无</w:t>
      </w:r>
      <w:r>
        <w:rPr>
          <w:rFonts w:hint="eastAsia" w:eastAsia="仿宋_GB2312" w:cs="Calibri"/>
          <w:color w:val="auto"/>
          <w:sz w:val="32"/>
          <w:szCs w:val="32"/>
          <w:lang w:eastAsia="zh-CN"/>
        </w:rPr>
        <w:t>公务接待</w:t>
      </w:r>
      <w:r>
        <w:rPr>
          <w:rFonts w:hint="eastAsia" w:ascii="仿宋_GB2312" w:eastAsia="仿宋_GB2312" w:cs="Times New Roman"/>
          <w:color w:val="auto"/>
          <w:sz w:val="32"/>
          <w:szCs w:val="32"/>
          <w:lang w:eastAsia="zh-CN"/>
        </w:rPr>
        <w:t>；</w:t>
      </w:r>
      <w:r>
        <w:rPr>
          <w:rFonts w:hint="default" w:ascii="Calibri" w:hAnsi="Calibri" w:eastAsia="仿宋_GB2312" w:cs="Calibri"/>
          <w:color w:val="auto"/>
          <w:sz w:val="32"/>
          <w:szCs w:val="32"/>
          <w:lang w:eastAsia="zh-CN"/>
        </w:rPr>
        <w:t>②原有公务车辆陆续报废，车辆运行</w:t>
      </w:r>
      <w:r>
        <w:rPr>
          <w:rFonts w:hint="eastAsia" w:eastAsia="仿宋_GB2312" w:cs="Calibri"/>
          <w:color w:val="auto"/>
          <w:sz w:val="32"/>
          <w:szCs w:val="32"/>
          <w:lang w:eastAsia="zh-CN"/>
        </w:rPr>
        <w:t>维护</w:t>
      </w:r>
      <w:r>
        <w:rPr>
          <w:rFonts w:hint="default" w:ascii="Calibri" w:hAnsi="Calibri" w:eastAsia="仿宋_GB2312" w:cs="Calibri"/>
          <w:color w:val="auto"/>
          <w:sz w:val="32"/>
          <w:szCs w:val="32"/>
          <w:lang w:eastAsia="zh-CN"/>
        </w:rPr>
        <w:t>费相应减少。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eastAsia="仿宋_GB2312" w:cs="Times New Roman"/>
          <w:color w:val="auto"/>
          <w:sz w:val="32"/>
          <w:szCs w:val="32"/>
          <w:lang w:eastAsia="zh-CN"/>
        </w:rPr>
      </w:pP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lang w:eastAsia="zh-CN"/>
        </w:rPr>
        <w:t>公务用车购置及运行维护费</w:t>
      </w:r>
      <w:r>
        <w:rPr>
          <w:rFonts w:hint="eastAsia" w:ascii="仿宋_GB2312" w:eastAsia="仿宋_GB2312" w:cs="Times New Roman"/>
          <w:color w:val="auto"/>
          <w:sz w:val="32"/>
          <w:szCs w:val="32"/>
          <w:lang w:val="en-US" w:eastAsia="zh-CN"/>
        </w:rPr>
        <w:t>2.9306万元，较上年3.2628万元减少0.3322万元，下降10.18%。原因：</w:t>
      </w:r>
      <w:r>
        <w:rPr>
          <w:rFonts w:hint="default" w:ascii="仿宋_GB2312" w:eastAsia="仿宋_GB2312" w:cs="Times New Roman"/>
          <w:color w:val="auto"/>
          <w:sz w:val="32"/>
          <w:szCs w:val="32"/>
          <w:lang w:eastAsia="zh-CN"/>
        </w:rPr>
        <w:t>原有公务车辆陆续报废，</w:t>
      </w:r>
      <w:r>
        <w:rPr>
          <w:rFonts w:hint="eastAsia" w:ascii="仿宋_GB2312" w:eastAsia="仿宋_GB2312" w:cs="Times New Roman"/>
          <w:color w:val="auto"/>
          <w:sz w:val="32"/>
          <w:szCs w:val="32"/>
          <w:lang w:eastAsia="zh-CN"/>
        </w:rPr>
        <w:t>导致</w:t>
      </w:r>
      <w:r>
        <w:rPr>
          <w:rFonts w:hint="default" w:ascii="仿宋_GB2312" w:eastAsia="仿宋_GB2312" w:cs="Times New Roman"/>
          <w:color w:val="auto"/>
          <w:sz w:val="32"/>
          <w:szCs w:val="32"/>
          <w:lang w:eastAsia="zh-CN"/>
        </w:rPr>
        <w:t>车辆运行</w:t>
      </w:r>
      <w:r>
        <w:rPr>
          <w:rFonts w:hint="eastAsia" w:ascii="仿宋_GB2312" w:eastAsia="仿宋_GB2312" w:cs="Times New Roman"/>
          <w:color w:val="auto"/>
          <w:sz w:val="32"/>
          <w:szCs w:val="32"/>
          <w:lang w:eastAsia="zh-CN"/>
        </w:rPr>
        <w:t>维护</w:t>
      </w:r>
      <w:r>
        <w:rPr>
          <w:rFonts w:hint="default" w:ascii="仿宋_GB2312" w:eastAsia="仿宋_GB2312" w:cs="Times New Roman"/>
          <w:color w:val="auto"/>
          <w:sz w:val="32"/>
          <w:szCs w:val="32"/>
          <w:lang w:eastAsia="zh-CN"/>
        </w:rPr>
        <w:t>费相应减少。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rPr>
        <w:t>（2）公务接待费0万元，与上年</w:t>
      </w:r>
      <w:r>
        <w:rPr>
          <w:rFonts w:hint="eastAsia" w:ascii="仿宋_GB2312" w:eastAsia="仿宋_GB2312" w:cs="Times New Roman"/>
          <w:color w:val="auto"/>
          <w:sz w:val="32"/>
          <w:szCs w:val="32"/>
          <w:lang w:val="en-US" w:eastAsia="zh-CN"/>
        </w:rPr>
        <w:t>0.1247</w:t>
      </w:r>
      <w:r>
        <w:rPr>
          <w:rFonts w:hint="eastAsia" w:ascii="仿宋_GB2312" w:eastAsia="仿宋_GB2312" w:cs="Times New Roman"/>
          <w:color w:val="auto"/>
          <w:sz w:val="32"/>
          <w:szCs w:val="32"/>
        </w:rPr>
        <w:t>万元相比</w:t>
      </w:r>
      <w:r>
        <w:rPr>
          <w:rFonts w:hint="eastAsia" w:ascii="仿宋_GB2312" w:eastAsia="仿宋_GB2312" w:cs="Times New Roman"/>
          <w:color w:val="auto"/>
          <w:sz w:val="32"/>
          <w:szCs w:val="32"/>
          <w:lang w:eastAsia="zh-CN"/>
        </w:rPr>
        <w:t>减少</w:t>
      </w:r>
      <w:r>
        <w:rPr>
          <w:rFonts w:hint="eastAsia" w:ascii="仿宋_GB2312" w:eastAsia="仿宋_GB2312" w:cs="Times New Roman"/>
          <w:color w:val="auto"/>
          <w:sz w:val="32"/>
          <w:szCs w:val="32"/>
          <w:lang w:val="en-US" w:eastAsia="zh-CN"/>
        </w:rPr>
        <w:t>0.1247万</w:t>
      </w:r>
      <w:r>
        <w:rPr>
          <w:rFonts w:hint="eastAsia" w:ascii="仿宋_GB2312" w:eastAsia="仿宋_GB2312" w:cs="Times New Roman"/>
          <w:color w:val="auto"/>
          <w:sz w:val="32"/>
          <w:szCs w:val="32"/>
        </w:rPr>
        <w:t>元，</w:t>
      </w:r>
      <w:r>
        <w:rPr>
          <w:rFonts w:hint="eastAsia" w:ascii="仿宋_GB2312" w:eastAsia="仿宋_GB2312" w:cs="Times New Roman"/>
          <w:color w:val="auto"/>
          <w:sz w:val="32"/>
          <w:szCs w:val="32"/>
          <w:lang w:eastAsia="zh-CN"/>
        </w:rPr>
        <w:t>下降</w:t>
      </w:r>
      <w:r>
        <w:rPr>
          <w:rFonts w:hint="eastAsia" w:ascii="仿宋_GB2312" w:eastAsia="仿宋_GB2312" w:cs="Times New Roman"/>
          <w:color w:val="auto"/>
          <w:sz w:val="32"/>
          <w:szCs w:val="32"/>
          <w:lang w:val="en-US" w:eastAsia="zh-CN"/>
        </w:rPr>
        <w:t>100</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eastAsia="zh-CN"/>
        </w:rPr>
        <w:t>原因：</w:t>
      </w:r>
      <w:r>
        <w:rPr>
          <w:rFonts w:hint="eastAsia" w:ascii="仿宋_GB2312" w:eastAsia="仿宋_GB2312" w:cs="Times New Roman"/>
          <w:color w:val="auto"/>
          <w:sz w:val="32"/>
          <w:szCs w:val="32"/>
          <w:lang w:val="en-US" w:eastAsia="zh-CN"/>
        </w:rPr>
        <w:t>2020年无公务接待。</w:t>
      </w:r>
    </w:p>
    <w:p>
      <w:pPr>
        <w:ind w:firstLine="640" w:firstLineChars="200"/>
        <w:rPr>
          <w:rFonts w:ascii="仿宋_GB2312" w:hAnsi="仿宋" w:eastAsia="仿宋_GB2312" w:cs="仿宋"/>
          <w:color w:val="FF0000"/>
          <w:sz w:val="32"/>
          <w:szCs w:val="32"/>
        </w:rPr>
      </w:pPr>
      <w:r>
        <w:rPr>
          <w:rFonts w:hint="eastAsia" w:ascii="仿宋_GB2312" w:hAnsi="仿宋" w:eastAsia="仿宋_GB2312" w:cs="仿宋"/>
          <w:bCs/>
          <w:color w:val="auto"/>
          <w:sz w:val="32"/>
          <w:szCs w:val="32"/>
          <w:lang w:val="en-US" w:eastAsia="zh-CN"/>
        </w:rPr>
        <w:t>4</w:t>
      </w:r>
      <w:r>
        <w:rPr>
          <w:rFonts w:hint="eastAsia" w:ascii="仿宋_GB2312" w:hAnsi="仿宋" w:eastAsia="仿宋_GB2312" w:cs="仿宋"/>
          <w:bCs/>
          <w:color w:val="auto"/>
          <w:sz w:val="32"/>
          <w:szCs w:val="32"/>
        </w:rPr>
        <w:t>.政府采购支出情况，包括采购类型、采购规模和资金来源等。</w:t>
      </w:r>
    </w:p>
    <w:tbl>
      <w:tblPr>
        <w:tblStyle w:val="5"/>
        <w:tblW w:w="9451" w:type="dxa"/>
        <w:tblInd w:w="93" w:type="dxa"/>
        <w:tblLayout w:type="fixed"/>
        <w:tblCellMar>
          <w:top w:w="0" w:type="dxa"/>
          <w:left w:w="108" w:type="dxa"/>
          <w:bottom w:w="0" w:type="dxa"/>
          <w:right w:w="108" w:type="dxa"/>
        </w:tblCellMar>
      </w:tblPr>
      <w:tblGrid>
        <w:gridCol w:w="930"/>
        <w:gridCol w:w="396"/>
        <w:gridCol w:w="1383"/>
        <w:gridCol w:w="1437"/>
        <w:gridCol w:w="1296"/>
        <w:gridCol w:w="1296"/>
        <w:gridCol w:w="1417"/>
        <w:gridCol w:w="1296"/>
      </w:tblGrid>
      <w:tr>
        <w:tblPrEx>
          <w:tblCellMar>
            <w:top w:w="0" w:type="dxa"/>
            <w:left w:w="108" w:type="dxa"/>
            <w:bottom w:w="0" w:type="dxa"/>
            <w:right w:w="108" w:type="dxa"/>
          </w:tblCellMar>
        </w:tblPrEx>
        <w:trPr>
          <w:trHeight w:val="308"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项目</w:t>
            </w:r>
          </w:p>
        </w:tc>
        <w:tc>
          <w:tcPr>
            <w:tcW w:w="39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行次</w:t>
            </w:r>
          </w:p>
        </w:tc>
        <w:tc>
          <w:tcPr>
            <w:tcW w:w="4116"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采购计划金额</w:t>
            </w:r>
          </w:p>
        </w:tc>
        <w:tc>
          <w:tcPr>
            <w:tcW w:w="4009"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实际采购金额</w:t>
            </w:r>
          </w:p>
        </w:tc>
      </w:tr>
      <w:tr>
        <w:tblPrEx>
          <w:tblCellMar>
            <w:top w:w="0" w:type="dxa"/>
            <w:left w:w="108" w:type="dxa"/>
            <w:bottom w:w="0" w:type="dxa"/>
            <w:right w:w="108" w:type="dxa"/>
          </w:tblCellMar>
        </w:tblPrEx>
        <w:trPr>
          <w:trHeight w:val="308" w:hRule="atLeast"/>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18"/>
                <w:szCs w:val="18"/>
              </w:rPr>
            </w:pPr>
          </w:p>
        </w:tc>
        <w:tc>
          <w:tcPr>
            <w:tcW w:w="3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18"/>
                <w:szCs w:val="18"/>
              </w:rPr>
            </w:pPr>
          </w:p>
        </w:tc>
        <w:tc>
          <w:tcPr>
            <w:tcW w:w="138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总计</w:t>
            </w:r>
          </w:p>
        </w:tc>
        <w:tc>
          <w:tcPr>
            <w:tcW w:w="273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采购预算(财政性资金)</w:t>
            </w:r>
          </w:p>
        </w:tc>
        <w:tc>
          <w:tcPr>
            <w:tcW w:w="129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总计</w:t>
            </w:r>
          </w:p>
        </w:tc>
        <w:tc>
          <w:tcPr>
            <w:tcW w:w="2713"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采购预算(财政性资金)</w:t>
            </w:r>
          </w:p>
        </w:tc>
      </w:tr>
      <w:tr>
        <w:tblPrEx>
          <w:tblCellMar>
            <w:top w:w="0" w:type="dxa"/>
            <w:left w:w="108" w:type="dxa"/>
            <w:bottom w:w="0" w:type="dxa"/>
            <w:right w:w="108" w:type="dxa"/>
          </w:tblCellMar>
        </w:tblPrEx>
        <w:trPr>
          <w:trHeight w:val="308" w:hRule="atLeast"/>
        </w:trPr>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18"/>
                <w:szCs w:val="18"/>
              </w:rPr>
            </w:pPr>
          </w:p>
        </w:tc>
        <w:tc>
          <w:tcPr>
            <w:tcW w:w="39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18"/>
                <w:szCs w:val="18"/>
              </w:rPr>
            </w:pPr>
          </w:p>
        </w:tc>
        <w:tc>
          <w:tcPr>
            <w:tcW w:w="138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18"/>
                <w:szCs w:val="18"/>
              </w:rPr>
            </w:pPr>
          </w:p>
        </w:tc>
        <w:tc>
          <w:tcPr>
            <w:tcW w:w="143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合计</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一般公共预算</w:t>
            </w:r>
          </w:p>
        </w:tc>
        <w:tc>
          <w:tcPr>
            <w:tcW w:w="129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18"/>
                <w:szCs w:val="18"/>
              </w:rPr>
            </w:pPr>
          </w:p>
        </w:tc>
        <w:tc>
          <w:tcPr>
            <w:tcW w:w="141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合计</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一般公共预算</w:t>
            </w:r>
          </w:p>
        </w:tc>
      </w:tr>
      <w:tr>
        <w:tblPrEx>
          <w:tblCellMar>
            <w:top w:w="0" w:type="dxa"/>
            <w:left w:w="108" w:type="dxa"/>
            <w:bottom w:w="0" w:type="dxa"/>
            <w:right w:w="108" w:type="dxa"/>
          </w:tblCellMar>
        </w:tblPrEx>
        <w:trPr>
          <w:trHeight w:val="308" w:hRule="atLeast"/>
        </w:trPr>
        <w:tc>
          <w:tcPr>
            <w:tcW w:w="1326"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栏次</w:t>
            </w:r>
          </w:p>
        </w:tc>
        <w:tc>
          <w:tcPr>
            <w:tcW w:w="138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w:t>
            </w:r>
          </w:p>
        </w:tc>
        <w:tc>
          <w:tcPr>
            <w:tcW w:w="143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3</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7</w:t>
            </w:r>
          </w:p>
        </w:tc>
        <w:tc>
          <w:tcPr>
            <w:tcW w:w="141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8</w:t>
            </w:r>
          </w:p>
        </w:tc>
        <w:tc>
          <w:tcPr>
            <w:tcW w:w="12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9</w:t>
            </w:r>
          </w:p>
        </w:tc>
      </w:tr>
      <w:tr>
        <w:tblPrEx>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合      计</w:t>
            </w:r>
          </w:p>
        </w:tc>
        <w:tc>
          <w:tcPr>
            <w:tcW w:w="3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1</w:t>
            </w:r>
          </w:p>
        </w:tc>
        <w:tc>
          <w:tcPr>
            <w:tcW w:w="13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lang w:val="en-US" w:eastAsia="zh-CN"/>
              </w:rPr>
              <w:t>2</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145</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046.87</w:t>
            </w:r>
          </w:p>
        </w:tc>
        <w:tc>
          <w:tcPr>
            <w:tcW w:w="14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lang w:val="en-US" w:eastAsia="zh-CN"/>
              </w:rPr>
              <w:t>2</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145</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046.87</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auto"/>
                <w:kern w:val="0"/>
                <w:sz w:val="18"/>
                <w:szCs w:val="18"/>
                <w:lang w:val="en-US" w:eastAsia="zh-CN"/>
              </w:rPr>
            </w:pPr>
            <w:r>
              <w:rPr>
                <w:rFonts w:hint="eastAsia" w:ascii="宋体" w:hAnsi="宋体" w:cs="Arial"/>
                <w:color w:val="auto"/>
                <w:kern w:val="0"/>
                <w:sz w:val="18"/>
                <w:szCs w:val="18"/>
                <w:lang w:val="en-US" w:eastAsia="zh-CN"/>
              </w:rPr>
              <w:t>2</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145</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046.87</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1,981,195.07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auto"/>
                <w:kern w:val="0"/>
                <w:sz w:val="18"/>
                <w:szCs w:val="18"/>
                <w:lang w:val="en-US" w:eastAsia="zh-CN"/>
              </w:rPr>
            </w:pPr>
            <w:r>
              <w:rPr>
                <w:rFonts w:hint="eastAsia" w:ascii="宋体" w:hAnsi="宋体" w:cs="Arial"/>
                <w:color w:val="auto"/>
                <w:kern w:val="0"/>
                <w:sz w:val="18"/>
                <w:szCs w:val="18"/>
              </w:rPr>
              <w:t>1,981,195.07</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1,981,195.07</w:t>
            </w:r>
          </w:p>
        </w:tc>
      </w:tr>
      <w:tr>
        <w:tblPrEx>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货物</w:t>
            </w:r>
          </w:p>
        </w:tc>
        <w:tc>
          <w:tcPr>
            <w:tcW w:w="3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2</w:t>
            </w:r>
          </w:p>
        </w:tc>
        <w:tc>
          <w:tcPr>
            <w:tcW w:w="13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lang w:val="en-US" w:eastAsia="zh-CN"/>
              </w:rPr>
              <w:t>874</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550</w:t>
            </w:r>
          </w:p>
        </w:tc>
        <w:tc>
          <w:tcPr>
            <w:tcW w:w="14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lang w:val="en-US" w:eastAsia="zh-CN"/>
              </w:rPr>
              <w:t>874</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550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宋体" w:hAnsi="宋体" w:eastAsia="宋体" w:cs="Arial"/>
                <w:color w:val="auto"/>
                <w:kern w:val="0"/>
                <w:sz w:val="18"/>
                <w:szCs w:val="18"/>
                <w:lang w:val="en-US" w:eastAsia="zh-CN"/>
              </w:rPr>
            </w:pPr>
            <w:r>
              <w:rPr>
                <w:rFonts w:hint="eastAsia" w:ascii="宋体" w:hAnsi="宋体" w:cs="Arial"/>
                <w:color w:val="auto"/>
                <w:kern w:val="0"/>
                <w:sz w:val="18"/>
                <w:szCs w:val="18"/>
                <w:lang w:val="en-US" w:eastAsia="zh-CN"/>
              </w:rPr>
              <w:t>874</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550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787,650.00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787,650.00</w:t>
            </w: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787,650.00</w:t>
            </w:r>
          </w:p>
        </w:tc>
      </w:tr>
      <w:tr>
        <w:tblPrEx>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工程</w:t>
            </w:r>
          </w:p>
        </w:tc>
        <w:tc>
          <w:tcPr>
            <w:tcW w:w="39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3</w:t>
            </w:r>
          </w:p>
        </w:tc>
        <w:tc>
          <w:tcPr>
            <w:tcW w:w="138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3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c>
          <w:tcPr>
            <w:tcW w:w="129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p>
        </w:tc>
      </w:tr>
      <w:tr>
        <w:tblPrEx>
          <w:tblCellMar>
            <w:top w:w="0" w:type="dxa"/>
            <w:left w:w="108" w:type="dxa"/>
            <w:bottom w:w="0" w:type="dxa"/>
            <w:right w:w="108" w:type="dxa"/>
          </w:tblCellMar>
        </w:tblPrEx>
        <w:trPr>
          <w:trHeight w:val="308" w:hRule="atLeast"/>
        </w:trPr>
        <w:tc>
          <w:tcPr>
            <w:tcW w:w="930" w:type="dxa"/>
            <w:tcBorders>
              <w:top w:val="nil"/>
              <w:left w:val="single" w:color="000000" w:sz="4" w:space="0"/>
              <w:bottom w:val="single" w:color="000000" w:sz="8"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服务</w:t>
            </w:r>
          </w:p>
        </w:tc>
        <w:tc>
          <w:tcPr>
            <w:tcW w:w="396" w:type="dxa"/>
            <w:tcBorders>
              <w:top w:val="nil"/>
              <w:left w:val="nil"/>
              <w:bottom w:val="single" w:color="000000" w:sz="8" w:space="0"/>
              <w:right w:val="single" w:color="000000" w:sz="4" w:space="0"/>
            </w:tcBorders>
            <w:shd w:val="clear" w:color="FFFFFF" w:fill="C0C0C0"/>
            <w:noWrap/>
            <w:vAlign w:val="center"/>
          </w:tcPr>
          <w:p>
            <w:pPr>
              <w:widowControl/>
              <w:jc w:val="center"/>
              <w:rPr>
                <w:rFonts w:ascii="宋体" w:hAnsi="宋体" w:cs="Arial"/>
                <w:color w:val="auto"/>
                <w:kern w:val="0"/>
                <w:sz w:val="18"/>
                <w:szCs w:val="18"/>
              </w:rPr>
            </w:pPr>
            <w:r>
              <w:rPr>
                <w:rFonts w:hint="eastAsia" w:ascii="宋体" w:hAnsi="宋体" w:cs="Arial"/>
                <w:color w:val="auto"/>
                <w:kern w:val="0"/>
                <w:sz w:val="18"/>
                <w:szCs w:val="18"/>
              </w:rPr>
              <w:t>4</w:t>
            </w:r>
          </w:p>
        </w:tc>
        <w:tc>
          <w:tcPr>
            <w:tcW w:w="1383"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lang w:val="en-US" w:eastAsia="zh-CN"/>
              </w:rPr>
              <w:t>1</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270</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496.87</w:t>
            </w:r>
          </w:p>
        </w:tc>
        <w:tc>
          <w:tcPr>
            <w:tcW w:w="143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lang w:val="en-US" w:eastAsia="zh-CN"/>
              </w:rPr>
              <w:t>1</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270</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496.87</w:t>
            </w:r>
          </w:p>
        </w:tc>
        <w:tc>
          <w:tcPr>
            <w:tcW w:w="1296" w:type="dxa"/>
            <w:tcBorders>
              <w:top w:val="nil"/>
              <w:left w:val="nil"/>
              <w:bottom w:val="single" w:color="000000" w:sz="8" w:space="0"/>
              <w:right w:val="single" w:color="000000" w:sz="4" w:space="0"/>
            </w:tcBorders>
            <w:shd w:val="clear" w:color="auto" w:fill="auto"/>
            <w:noWrap/>
            <w:vAlign w:val="center"/>
          </w:tcPr>
          <w:p>
            <w:pPr>
              <w:widowControl/>
              <w:jc w:val="right"/>
              <w:rPr>
                <w:rFonts w:hint="default" w:ascii="宋体" w:hAnsi="宋体" w:eastAsia="宋体" w:cs="Arial"/>
                <w:color w:val="auto"/>
                <w:kern w:val="0"/>
                <w:sz w:val="18"/>
                <w:szCs w:val="18"/>
                <w:lang w:val="en-US" w:eastAsia="zh-CN"/>
              </w:rPr>
            </w:pPr>
            <w:r>
              <w:rPr>
                <w:rFonts w:hint="eastAsia" w:ascii="宋体" w:hAnsi="宋体" w:cs="Arial"/>
                <w:color w:val="auto"/>
                <w:kern w:val="0"/>
                <w:sz w:val="18"/>
                <w:szCs w:val="18"/>
                <w:lang w:val="en-US" w:eastAsia="zh-CN"/>
              </w:rPr>
              <w:t>1</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270</w:t>
            </w:r>
            <w:r>
              <w:rPr>
                <w:rFonts w:hint="eastAsia" w:ascii="宋体" w:hAnsi="宋体" w:cs="Arial"/>
                <w:color w:val="auto"/>
                <w:kern w:val="0"/>
                <w:sz w:val="18"/>
                <w:szCs w:val="18"/>
              </w:rPr>
              <w:t>,</w:t>
            </w:r>
            <w:r>
              <w:rPr>
                <w:rFonts w:hint="eastAsia" w:ascii="宋体" w:hAnsi="宋体" w:cs="Arial"/>
                <w:color w:val="auto"/>
                <w:kern w:val="0"/>
                <w:sz w:val="18"/>
                <w:szCs w:val="18"/>
                <w:lang w:val="en-US" w:eastAsia="zh-CN"/>
              </w:rPr>
              <w:t>496.87</w:t>
            </w:r>
          </w:p>
        </w:tc>
        <w:tc>
          <w:tcPr>
            <w:tcW w:w="129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1,193,545.07</w:t>
            </w:r>
          </w:p>
        </w:tc>
        <w:tc>
          <w:tcPr>
            <w:tcW w:w="1417"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1,193,545.07</w:t>
            </w:r>
          </w:p>
        </w:tc>
        <w:tc>
          <w:tcPr>
            <w:tcW w:w="1296" w:type="dxa"/>
            <w:tcBorders>
              <w:top w:val="nil"/>
              <w:left w:val="nil"/>
              <w:bottom w:val="single" w:color="000000" w:sz="8" w:space="0"/>
              <w:right w:val="single" w:color="000000" w:sz="4" w:space="0"/>
            </w:tcBorders>
            <w:shd w:val="clear" w:color="auto" w:fill="auto"/>
            <w:noWrap/>
            <w:vAlign w:val="center"/>
          </w:tcPr>
          <w:p>
            <w:pPr>
              <w:widowControl/>
              <w:jc w:val="right"/>
              <w:rPr>
                <w:rFonts w:ascii="宋体" w:hAnsi="宋体" w:cs="Arial"/>
                <w:color w:val="auto"/>
                <w:kern w:val="0"/>
                <w:sz w:val="18"/>
                <w:szCs w:val="18"/>
              </w:rPr>
            </w:pPr>
            <w:r>
              <w:rPr>
                <w:rFonts w:hint="eastAsia" w:ascii="宋体" w:hAnsi="宋体" w:cs="Arial"/>
                <w:color w:val="auto"/>
                <w:kern w:val="0"/>
                <w:sz w:val="18"/>
                <w:szCs w:val="18"/>
              </w:rPr>
              <w:t>1,193,545.07</w:t>
            </w:r>
          </w:p>
        </w:tc>
      </w:tr>
    </w:tbl>
    <w:p>
      <w:pPr>
        <w:ind w:firstLine="709"/>
        <w:rPr>
          <w:rFonts w:hint="eastAsia" w:ascii="仿宋_GB2312" w:hAnsi="仿宋" w:eastAsia="仿宋_GB2312" w:cs="仿宋"/>
          <w:bCs/>
          <w:color w:val="FF0000"/>
          <w:sz w:val="32"/>
          <w:szCs w:val="32"/>
        </w:rPr>
      </w:pPr>
    </w:p>
    <w:p>
      <w:pPr>
        <w:ind w:firstLine="709"/>
        <w:rPr>
          <w:rFonts w:hint="eastAsia" w:ascii="仿宋_GB2312" w:hAnsi="仿宋" w:eastAsia="仿宋_GB2312" w:cs="仿宋"/>
          <w:color w:val="auto"/>
          <w:sz w:val="32"/>
          <w:szCs w:val="32"/>
        </w:rPr>
      </w:pPr>
      <w:r>
        <w:rPr>
          <w:rFonts w:hint="eastAsia" w:ascii="仿宋_GB2312" w:hAnsi="仿宋" w:eastAsia="仿宋_GB2312" w:cs="仿宋"/>
          <w:bCs/>
          <w:color w:val="auto"/>
          <w:sz w:val="32"/>
          <w:szCs w:val="32"/>
          <w:lang w:val="en-US" w:eastAsia="zh-CN"/>
        </w:rPr>
        <w:t>5</w:t>
      </w:r>
      <w:r>
        <w:rPr>
          <w:rFonts w:hint="eastAsia" w:ascii="仿宋_GB2312" w:hAnsi="仿宋" w:eastAsia="仿宋_GB2312" w:cs="仿宋"/>
          <w:bCs/>
          <w:color w:val="auto"/>
          <w:sz w:val="32"/>
          <w:szCs w:val="32"/>
        </w:rPr>
        <w:t>.“收入支出决算总表”中调整预算数大于年初预算数的</w:t>
      </w:r>
      <w:r>
        <w:rPr>
          <w:rFonts w:hint="eastAsia" w:ascii="仿宋_GB2312" w:hAnsi="仿宋" w:eastAsia="仿宋_GB2312" w:cs="仿宋"/>
          <w:color w:val="auto"/>
          <w:sz w:val="32"/>
          <w:szCs w:val="32"/>
        </w:rPr>
        <w:t>说明</w:t>
      </w:r>
    </w:p>
    <w:p>
      <w:pPr>
        <w:ind w:firstLine="709"/>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2020年</w:t>
      </w:r>
      <w:r>
        <w:rPr>
          <w:rFonts w:hint="eastAsia" w:ascii="仿宋_GB2312" w:hAnsi="仿宋" w:eastAsia="仿宋_GB2312" w:cs="仿宋"/>
          <w:color w:val="auto"/>
          <w:sz w:val="32"/>
          <w:szCs w:val="32"/>
        </w:rPr>
        <w:t>年初收入预算</w:t>
      </w:r>
      <w:r>
        <w:rPr>
          <w:rFonts w:hint="eastAsia" w:ascii="仿宋_GB2312" w:hAnsi="仿宋" w:eastAsia="仿宋_GB2312" w:cs="仿宋"/>
          <w:color w:val="auto"/>
          <w:sz w:val="32"/>
          <w:szCs w:val="32"/>
          <w:lang w:val="en-US" w:eastAsia="zh-CN"/>
        </w:rPr>
        <w:t>2938.969</w:t>
      </w:r>
      <w:r>
        <w:rPr>
          <w:rFonts w:hint="eastAsia" w:ascii="仿宋_GB2312" w:hAnsi="仿宋" w:eastAsia="仿宋_GB2312" w:cs="仿宋"/>
          <w:color w:val="auto"/>
          <w:sz w:val="32"/>
          <w:szCs w:val="32"/>
        </w:rPr>
        <w:t>万元，调整预算</w:t>
      </w:r>
      <w:r>
        <w:rPr>
          <w:rFonts w:hint="eastAsia" w:ascii="仿宋_GB2312" w:hAnsi="仿宋" w:eastAsia="仿宋_GB2312" w:cs="Times New Roman"/>
          <w:color w:val="auto"/>
          <w:sz w:val="32"/>
          <w:szCs w:val="32"/>
          <w:lang w:val="en-US" w:eastAsia="zh-CN"/>
        </w:rPr>
        <w:t>3340.3044</w:t>
      </w:r>
      <w:r>
        <w:rPr>
          <w:rFonts w:hint="eastAsia" w:ascii="仿宋_GB2312" w:hAnsi="仿宋" w:eastAsia="仿宋_GB2312" w:cs="仿宋"/>
          <w:color w:val="auto"/>
          <w:sz w:val="32"/>
          <w:szCs w:val="32"/>
        </w:rPr>
        <w:t>万元，</w:t>
      </w:r>
      <w:r>
        <w:rPr>
          <w:rFonts w:hint="eastAsia" w:ascii="仿宋_GB2312" w:hAnsi="仿宋" w:eastAsia="仿宋_GB2312" w:cs="仿宋"/>
          <w:bCs/>
          <w:color w:val="auto"/>
          <w:sz w:val="32"/>
          <w:szCs w:val="32"/>
        </w:rPr>
        <w:t>调整预算数大于年初预算数</w:t>
      </w:r>
      <w:r>
        <w:rPr>
          <w:rFonts w:hint="eastAsia" w:ascii="仿宋_GB2312" w:hAnsi="仿宋" w:eastAsia="仿宋_GB2312" w:cs="仿宋"/>
          <w:color w:val="auto"/>
          <w:sz w:val="32"/>
          <w:szCs w:val="32"/>
          <w:lang w:val="en-US" w:eastAsia="zh-CN"/>
        </w:rPr>
        <w:t>401.3354</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，主要原因：年初部门预算批复数不含城市维护费预算数以及年末财政收回未用的预算资金。</w:t>
      </w:r>
    </w:p>
    <w:p>
      <w:pPr>
        <w:ind w:firstLine="709"/>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2020年</w:t>
      </w:r>
      <w:r>
        <w:rPr>
          <w:rFonts w:hint="eastAsia" w:ascii="仿宋_GB2312" w:hAnsi="仿宋" w:eastAsia="仿宋_GB2312" w:cs="仿宋"/>
          <w:color w:val="auto"/>
          <w:sz w:val="32"/>
          <w:szCs w:val="32"/>
        </w:rPr>
        <w:t>年初支出预算</w:t>
      </w:r>
      <w:r>
        <w:rPr>
          <w:rFonts w:hint="eastAsia" w:ascii="仿宋_GB2312" w:hAnsi="仿宋" w:eastAsia="仿宋_GB2312" w:cs="仿宋"/>
          <w:color w:val="auto"/>
          <w:sz w:val="32"/>
          <w:szCs w:val="32"/>
          <w:lang w:val="en-US" w:eastAsia="zh-CN"/>
        </w:rPr>
        <w:t>2938.969</w:t>
      </w:r>
      <w:r>
        <w:rPr>
          <w:rFonts w:hint="eastAsia" w:ascii="仿宋_GB2312" w:hAnsi="仿宋" w:eastAsia="仿宋_GB2312" w:cs="仿宋"/>
          <w:color w:val="auto"/>
          <w:sz w:val="32"/>
          <w:szCs w:val="32"/>
        </w:rPr>
        <w:t>万元，调整预算</w:t>
      </w:r>
      <w:r>
        <w:rPr>
          <w:rFonts w:hint="eastAsia" w:ascii="仿宋_GB2312" w:hAnsi="仿宋" w:eastAsia="仿宋_GB2312" w:cs="Times New Roman"/>
          <w:color w:val="auto"/>
          <w:sz w:val="32"/>
          <w:szCs w:val="32"/>
          <w:lang w:val="en-US" w:eastAsia="zh-CN"/>
        </w:rPr>
        <w:t>3355.1086</w:t>
      </w:r>
      <w:r>
        <w:rPr>
          <w:rFonts w:hint="eastAsia" w:ascii="仿宋_GB2312" w:hAnsi="仿宋" w:eastAsia="仿宋_GB2312" w:cs="仿宋"/>
          <w:color w:val="auto"/>
          <w:sz w:val="32"/>
          <w:szCs w:val="32"/>
        </w:rPr>
        <w:t>万元，</w:t>
      </w:r>
      <w:r>
        <w:rPr>
          <w:rFonts w:hint="eastAsia" w:ascii="仿宋_GB2312" w:hAnsi="仿宋" w:eastAsia="仿宋_GB2312" w:cs="仿宋"/>
          <w:bCs/>
          <w:color w:val="auto"/>
          <w:sz w:val="32"/>
          <w:szCs w:val="32"/>
        </w:rPr>
        <w:t>调整预算数大于年初预算数</w:t>
      </w:r>
      <w:r>
        <w:rPr>
          <w:rFonts w:hint="eastAsia" w:ascii="仿宋_GB2312" w:hAnsi="仿宋" w:eastAsia="仿宋_GB2312" w:cs="仿宋"/>
          <w:color w:val="auto"/>
          <w:sz w:val="32"/>
          <w:szCs w:val="32"/>
          <w:lang w:val="en-US" w:eastAsia="zh-CN"/>
        </w:rPr>
        <w:t>416.1396</w:t>
      </w:r>
      <w:r>
        <w:rPr>
          <w:rFonts w:hint="eastAsia"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，主要原因：年初部门预算批复数不含城市维护费预算数以及年末财政收回未用的预算资金。</w:t>
      </w:r>
    </w:p>
    <w:p>
      <w:pPr>
        <w:rPr>
          <w:rFonts w:hint="eastAsia" w:ascii="仿宋_GB2312" w:hAnsi="仿宋" w:eastAsia="仿宋_GB2312" w:cs="仿宋"/>
          <w:bCs/>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10</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19C6E"/>
    <w:multiLevelType w:val="singleLevel"/>
    <w:tmpl w:val="B6B19C6E"/>
    <w:lvl w:ilvl="0" w:tentative="0">
      <w:start w:val="2"/>
      <w:numFmt w:val="decimal"/>
      <w:lvlText w:val="%1."/>
      <w:lvlJc w:val="left"/>
      <w:pPr>
        <w:tabs>
          <w:tab w:val="left" w:pos="879"/>
        </w:tabs>
      </w:pPr>
    </w:lvl>
  </w:abstractNum>
  <w:abstractNum w:abstractNumId="1">
    <w:nsid w:val="D07264C0"/>
    <w:multiLevelType w:val="singleLevel"/>
    <w:tmpl w:val="D07264C0"/>
    <w:lvl w:ilvl="0" w:tentative="0">
      <w:start w:val="9"/>
      <w:numFmt w:val="decimal"/>
      <w:lvlText w:val="%1."/>
      <w:lvlJc w:val="left"/>
      <w:pPr>
        <w:tabs>
          <w:tab w:val="left" w:pos="312"/>
        </w:tabs>
      </w:pPr>
    </w:lvl>
  </w:abstractNum>
  <w:abstractNum w:abstractNumId="2">
    <w:nsid w:val="04AE7599"/>
    <w:multiLevelType w:val="singleLevel"/>
    <w:tmpl w:val="04AE7599"/>
    <w:lvl w:ilvl="0" w:tentative="0">
      <w:start w:val="1"/>
      <w:numFmt w:val="decimal"/>
      <w:suff w:val="nothing"/>
      <w:lvlText w:val="%1、"/>
      <w:lvlJc w:val="left"/>
      <w:pPr>
        <w:ind w:left="-10"/>
      </w:pPr>
      <w:rPr>
        <w:rFonts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722BF"/>
    <w:rsid w:val="000A1A07"/>
    <w:rsid w:val="001A527B"/>
    <w:rsid w:val="00217D87"/>
    <w:rsid w:val="002C6963"/>
    <w:rsid w:val="00321AA1"/>
    <w:rsid w:val="003877C3"/>
    <w:rsid w:val="00390390"/>
    <w:rsid w:val="0039393E"/>
    <w:rsid w:val="00522486"/>
    <w:rsid w:val="005502D5"/>
    <w:rsid w:val="00576055"/>
    <w:rsid w:val="00601750"/>
    <w:rsid w:val="006210EA"/>
    <w:rsid w:val="006231DE"/>
    <w:rsid w:val="00640DBE"/>
    <w:rsid w:val="0068308D"/>
    <w:rsid w:val="006B17A2"/>
    <w:rsid w:val="00703E21"/>
    <w:rsid w:val="007329D4"/>
    <w:rsid w:val="007C00B5"/>
    <w:rsid w:val="007F48E6"/>
    <w:rsid w:val="00822C60"/>
    <w:rsid w:val="008B4CF8"/>
    <w:rsid w:val="008E5B2B"/>
    <w:rsid w:val="009E77A1"/>
    <w:rsid w:val="00A63827"/>
    <w:rsid w:val="00AA67AF"/>
    <w:rsid w:val="00AF40A1"/>
    <w:rsid w:val="00BB0B4D"/>
    <w:rsid w:val="00BD6CD3"/>
    <w:rsid w:val="00D6432C"/>
    <w:rsid w:val="00D92F34"/>
    <w:rsid w:val="00DA1F66"/>
    <w:rsid w:val="00E1090A"/>
    <w:rsid w:val="00E329F1"/>
    <w:rsid w:val="00EB18AC"/>
    <w:rsid w:val="00EE0CEF"/>
    <w:rsid w:val="00FC360F"/>
    <w:rsid w:val="00FE6666"/>
    <w:rsid w:val="01DE5541"/>
    <w:rsid w:val="024818D8"/>
    <w:rsid w:val="0423569B"/>
    <w:rsid w:val="04E4106E"/>
    <w:rsid w:val="096F3B2D"/>
    <w:rsid w:val="09F17772"/>
    <w:rsid w:val="0A85379F"/>
    <w:rsid w:val="0AF71F8C"/>
    <w:rsid w:val="12357D4A"/>
    <w:rsid w:val="12A22E0D"/>
    <w:rsid w:val="12AA3C46"/>
    <w:rsid w:val="179D6CA7"/>
    <w:rsid w:val="17C5479A"/>
    <w:rsid w:val="189F15C6"/>
    <w:rsid w:val="1AAE70BA"/>
    <w:rsid w:val="1DC80812"/>
    <w:rsid w:val="1E04352A"/>
    <w:rsid w:val="25040F5E"/>
    <w:rsid w:val="266979F3"/>
    <w:rsid w:val="2745548F"/>
    <w:rsid w:val="2A8342C7"/>
    <w:rsid w:val="2AA21870"/>
    <w:rsid w:val="3068741A"/>
    <w:rsid w:val="30ED0DEF"/>
    <w:rsid w:val="34242D12"/>
    <w:rsid w:val="368D50AB"/>
    <w:rsid w:val="37721953"/>
    <w:rsid w:val="3AB70D6F"/>
    <w:rsid w:val="3C86495E"/>
    <w:rsid w:val="3CB72FE6"/>
    <w:rsid w:val="3EF44DED"/>
    <w:rsid w:val="3FFB42D6"/>
    <w:rsid w:val="4010093E"/>
    <w:rsid w:val="40773C45"/>
    <w:rsid w:val="40A74FFA"/>
    <w:rsid w:val="42156A1C"/>
    <w:rsid w:val="422F4290"/>
    <w:rsid w:val="43947A68"/>
    <w:rsid w:val="43A446F4"/>
    <w:rsid w:val="443F4472"/>
    <w:rsid w:val="4763284C"/>
    <w:rsid w:val="485D31C8"/>
    <w:rsid w:val="4A2672DF"/>
    <w:rsid w:val="4A3B1932"/>
    <w:rsid w:val="5146551A"/>
    <w:rsid w:val="54B53C7C"/>
    <w:rsid w:val="563D0BF3"/>
    <w:rsid w:val="57534DF5"/>
    <w:rsid w:val="580B4CEE"/>
    <w:rsid w:val="59857A94"/>
    <w:rsid w:val="5A904821"/>
    <w:rsid w:val="5CFE681A"/>
    <w:rsid w:val="607D32CA"/>
    <w:rsid w:val="61700CFD"/>
    <w:rsid w:val="61EF2136"/>
    <w:rsid w:val="63110BB4"/>
    <w:rsid w:val="660E0EF7"/>
    <w:rsid w:val="66524DA9"/>
    <w:rsid w:val="67AD7A4B"/>
    <w:rsid w:val="6BD22852"/>
    <w:rsid w:val="6C724344"/>
    <w:rsid w:val="6E8F438A"/>
    <w:rsid w:val="70A12C3E"/>
    <w:rsid w:val="73237AAE"/>
    <w:rsid w:val="733934E6"/>
    <w:rsid w:val="739F4D7C"/>
    <w:rsid w:val="75293B5F"/>
    <w:rsid w:val="756019AA"/>
    <w:rsid w:val="77B60B2A"/>
    <w:rsid w:val="77E96A18"/>
    <w:rsid w:val="796726B4"/>
    <w:rsid w:val="7AD93583"/>
    <w:rsid w:val="7C211BE0"/>
    <w:rsid w:val="7CCC6B6F"/>
    <w:rsid w:val="7CFD1D0A"/>
    <w:rsid w:val="7EF7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rFonts w:cs="Times New Roman"/>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7">
    <w:name w:val="FollowedHyperlink"/>
    <w:semiHidden/>
    <w:qFormat/>
    <w:uiPriority w:val="99"/>
    <w:rPr>
      <w:color w:val="800080"/>
      <w:u w:val="single"/>
    </w:rPr>
  </w:style>
  <w:style w:type="character" w:styleId="8">
    <w:name w:val="Hyperlink"/>
    <w:semiHidden/>
    <w:qFormat/>
    <w:uiPriority w:val="99"/>
    <w:rPr>
      <w:color w:val="0000FF"/>
      <w:u w:val="single"/>
    </w:rPr>
  </w:style>
  <w:style w:type="character" w:customStyle="1" w:styleId="9">
    <w:name w:val="页脚 Char"/>
    <w:basedOn w:val="6"/>
    <w:semiHidden/>
    <w:qFormat/>
    <w:uiPriority w:val="99"/>
    <w:rPr>
      <w:rFonts w:ascii="Calibri" w:hAnsi="Calibri" w:eastAsia="宋体" w:cs="Calibri"/>
      <w:sz w:val="18"/>
      <w:szCs w:val="18"/>
    </w:rPr>
  </w:style>
  <w:style w:type="character" w:customStyle="1" w:styleId="10">
    <w:name w:val="页脚 Char1"/>
    <w:link w:val="3"/>
    <w:qFormat/>
    <w:locked/>
    <w:uiPriority w:val="99"/>
    <w:rPr>
      <w:rFonts w:ascii="Times New Roman" w:hAnsi="Times New Roman" w:eastAsia="宋体" w:cs="Times New Roman"/>
      <w:kern w:val="0"/>
      <w:sz w:val="18"/>
      <w:szCs w:val="18"/>
    </w:rPr>
  </w:style>
  <w:style w:type="character" w:customStyle="1" w:styleId="11">
    <w:name w:val="页眉 Char"/>
    <w:basedOn w:val="6"/>
    <w:semiHidden/>
    <w:qFormat/>
    <w:uiPriority w:val="99"/>
    <w:rPr>
      <w:rFonts w:ascii="Calibri" w:hAnsi="Calibri" w:eastAsia="宋体" w:cs="Calibri"/>
      <w:sz w:val="18"/>
      <w:szCs w:val="18"/>
    </w:rPr>
  </w:style>
  <w:style w:type="character" w:customStyle="1" w:styleId="12">
    <w:name w:val="页眉 Char1"/>
    <w:link w:val="4"/>
    <w:qFormat/>
    <w:locked/>
    <w:uiPriority w:val="99"/>
    <w:rPr>
      <w:rFonts w:ascii="Times New Roman" w:hAnsi="Times New Roman" w:eastAsia="宋体" w:cs="Times New Roman"/>
      <w:kern w:val="0"/>
      <w:sz w:val="18"/>
      <w:szCs w:val="18"/>
    </w:rPr>
  </w:style>
  <w:style w:type="character" w:customStyle="1" w:styleId="13">
    <w:name w:val="apple-converted-space"/>
    <w:basedOn w:val="6"/>
    <w:qFormat/>
    <w:uiPriority w:val="99"/>
  </w:style>
  <w:style w:type="character" w:customStyle="1" w:styleId="14">
    <w:name w:val="批注框文本 Char"/>
    <w:basedOn w:val="6"/>
    <w:semiHidden/>
    <w:qFormat/>
    <w:uiPriority w:val="99"/>
    <w:rPr>
      <w:rFonts w:ascii="Calibri" w:hAnsi="Calibri" w:eastAsia="宋体" w:cs="Calibri"/>
      <w:sz w:val="18"/>
      <w:szCs w:val="18"/>
    </w:rPr>
  </w:style>
  <w:style w:type="character" w:customStyle="1" w:styleId="15">
    <w:name w:val="批注框文本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852</Words>
  <Characters>4857</Characters>
  <Lines>40</Lines>
  <Paragraphs>11</Paragraphs>
  <TotalTime>2</TotalTime>
  <ScaleCrop>false</ScaleCrop>
  <LinksUpToDate>false</LinksUpToDate>
  <CharactersWithSpaces>5698</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2009-02-02T16:47:00Z</dcterms:created>
  <dc:creator>闻吉</dc:creator>
  <cp:lastModifiedBy>韦妖妖灵</cp:lastModifiedBy>
  <cp:lastPrinted>2019-02-18T09:07:00Z</cp:lastPrinted>
  <dcterms:modified xsi:type="dcterms:W3CDTF">2021-02-25T08:56:24Z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69EA9C589BC648D5B84EEE45DCB8D883</vt:lpwstr>
  </property>
</Properties>
</file>