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937" w:tblpY="-9491"/>
        <w:tblOverlap w:val="never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表一：收入支出决算总表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1344.06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1406.84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2617.72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二十二、债务还本支出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二十三、债务付息支出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.9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2734.98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0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516.46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532.38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3267.36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3267.36</w:t>
            </w:r>
          </w:p>
        </w:tc>
      </w:tr>
    </w:tbl>
    <w:p>
      <w:p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8" w:bottom="1134" w:left="158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6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050"/>
        <w:gridCol w:w="1540"/>
        <w:gridCol w:w="1540"/>
        <w:gridCol w:w="1540"/>
        <w:gridCol w:w="1540"/>
        <w:gridCol w:w="1540"/>
        <w:gridCol w:w="15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2750.90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1344.06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科学技术支出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25.74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25.74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24.51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24.51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2633.64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1226.80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2633.24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1226.40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1406.84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625.58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598.64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26.94</w:t>
            </w: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301.26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301.26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2130106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科技转化与推广服务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病虫害控制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1435.70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1342.70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农产品质量安全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39.7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39.5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2130110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执法监管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2130111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统计监测与信息服务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2130135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农业资源保护修复与利用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center" w:pos="547"/>
              </w:tabs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2130199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其他农业支出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21399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其他农林水支出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2139999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其他农林水支出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6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290"/>
        <w:gridCol w:w="1507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2734.98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1017.60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1717.38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科学技术支出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25.74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25.74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24.51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24.51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2617.72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906.34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1711.38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2617.32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906.34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1711.38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605.08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605.08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301.26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301.26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2130106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科技转化与推广服务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61.2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病虫害控制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1518.63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1518.63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农产品质量安全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39.7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39.7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2130110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执法监管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2130111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统计监测与信息服务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2130135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农业资源保护修复与利用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51.45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21399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其他农林水支出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2139999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其他农林水支出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表四：财政拨款收入支出决算总表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6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540"/>
        <w:gridCol w:w="2022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1344.06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二、外交支出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三、国防支出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四、公共安全支出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六、科学技术支出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七、文化体育与传媒支出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八、社会保障和就业支出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0.31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九、医疗卫生与计划生育支出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50.26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十、节能环保支出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十一、城乡社区支出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十二、农林水支出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1408.80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1408.80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十三、交通运输支出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十四、资源勘探信息等支出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十五、商业服务业等支出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十六、金融支出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十七、援助其他地区支出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十八、国土海洋气象等支出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十九、住房保障支出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二十、粮油物资储备支出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二十一、其他支出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二十二、债务还本支出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二十三、债务付息支出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1344.06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1526.06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 xml:space="preserve">      年初财政拨款结转和结余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108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 xml:space="preserve">       一般公共预算财政拨款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1634.06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20" w:firstLineChars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1634.06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表五：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公共预算财政拨款支出决算表</w:t>
      </w:r>
    </w:p>
    <w:p>
      <w:pPr>
        <w:jc w:val="righ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6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2900"/>
        <w:gridCol w:w="2900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600" w:firstLineChars="8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1526.06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1011.16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514.9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1.56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1.56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1.56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1.56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1.56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1.56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科学技术支出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2069999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其他科学技术支出　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　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2080801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死亡抚恤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0.31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医疗卫生与计划生育支出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50.26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50.26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50.26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50.26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25.74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25.74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事业单位医疗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24.51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24.51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农林水支出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1408.80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899.90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508.90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1408.40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899.90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508.50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598.64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598.64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2130104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事业运行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301.26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301.26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2130106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科技转化与推广服务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2130108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病虫害控制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2130109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农产品质量安全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39.5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2130110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执法监管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2130135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农业资源保护修复与利用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21399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其他农林水支出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2139999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eastAsia="zh-CN"/>
              </w:rPr>
              <w:t>其他农林水支出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59.13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59.13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住房保障支出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59.13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59.13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59.13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00" w:firstLineChars="500"/>
              <w:jc w:val="righ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59.13</w:t>
            </w:r>
          </w:p>
        </w:tc>
        <w:tc>
          <w:tcPr>
            <w:tcW w:w="3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footerReference r:id="rId9" w:type="default"/>
          <w:footerReference r:id="rId10" w:type="even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表六：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公共预算财政拨款基本支出决算表</w:t>
      </w: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6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1520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1011.16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974.75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36.41</w:t>
            </w: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680.02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680.02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227.10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227.10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116.11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116.11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155.24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155.24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社会保障缴费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56.99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96.57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96.57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23.14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23.14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36.41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36.41</w:t>
            </w:r>
          </w:p>
        </w:tc>
      </w:tr>
      <w:tr>
        <w:tblPrEx>
          <w:tblLayout w:type="fixed"/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0.64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咨询费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水费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0.03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邮电费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取暖费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物业管理费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11.93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11.93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因公出国（境）费用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维修（护）费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0.94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租赁费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3.68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培训费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1.43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专用材料费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4.45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4.45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被装购置费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专用燃料费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劳务费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委托业务费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工会经费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福利费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公务用车运行维护费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其他交通费用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294.74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294.74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17.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516.99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516.99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退职（役）费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0.7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生活补助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0.21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救济费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医疗费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助学金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奖励金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生产补贴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  <w:lang w:val="en-US" w:eastAsia="zh-CN"/>
              </w:rPr>
              <w:t>59.13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提租补贴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购房补贴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其他对个人和家庭的补助支出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表七：</w:t>
      </w:r>
      <w:r>
        <w:rPr>
          <w:rFonts w:hint="eastAsia" w:ascii="方正小标宋简体" w:eastAsia="方正小标宋简体"/>
          <w:sz w:val="36"/>
          <w:szCs w:val="36"/>
          <w:highlight w:val="none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  <w:highlight w:val="none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  <w:highlight w:val="none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6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2016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eastAsia="zh-CN"/>
              </w:rPr>
              <w:t>2016</w:t>
            </w: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0" w:firstLineChars="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0" w:firstLineChars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4.2</w:t>
            </w:r>
          </w:p>
        </w:tc>
      </w:tr>
    </w:tbl>
    <w:p/>
    <w:p/>
    <w:p>
      <w:pPr>
        <w:rPr>
          <w:rFonts w:hint="eastAsia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2016年初适逢公车改革，故年初公务用车运行维护费没有预算，因我单位为行政事业混编单位，公车改革后，所属二层事业单位仍保留有业务用车和执法用车，因此决算数大于预算数。因公出国（境）费为非税回拨款调剂支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77"/>
                <w:tab w:val="right" w:pos="1164"/>
              </w:tabs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592"/>
                <w:tab w:val="right" w:pos="1164"/>
              </w:tabs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 w:ascii="仿宋_GB2312" w:eastAsia="仿宋_GB2312"/>
          <w:b/>
          <w:sz w:val="32"/>
          <w:szCs w:val="32"/>
          <w:lang w:eastAsia="zh-CN"/>
        </w:rPr>
        <w:t>河池市水产畜牧兽医局无政府性基金收入，也没有政府性基金支出，故本表无数据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80"/>
      <w:jc w:val="center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 xml:space="preserve">-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hint="eastAsia" w:ascii="宋体" w:hAnsi="宋体"/>
        <w:sz w:val="24"/>
        <w:szCs w:val="24"/>
      </w:rPr>
      <w:t xml:space="preserve"> -</w:t>
    </w: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5"/>
        <w:sz w:val="30"/>
        <w:szCs w:val="30"/>
      </w:rPr>
      <w:t>- 25 -</w:t>
    </w:r>
    <w:r>
      <w:rPr>
        <w:sz w:val="30"/>
        <w:szCs w:val="30"/>
      </w:rP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E1183"/>
    <w:rsid w:val="418E1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2017-09-26T01:43:00Z</dcterms:created>
  <dc:creator>Administrator</dc:creator>
  <cp:lastModifiedBy>Administrator</cp:lastModifiedBy>
  <dcterms:modified xsi:type="dcterms:W3CDTF">2017-09-26T01:45:57Z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