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表三：支出决算表</w:t>
      </w:r>
      <w:bookmarkEnd w:id="0"/>
    </w:p>
    <w:p>
      <w:pPr>
        <w:jc w:val="right"/>
        <w:rPr>
          <w:rFonts w:hint="eastAsia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40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226"/>
        <w:gridCol w:w="1571"/>
        <w:gridCol w:w="1842"/>
        <w:gridCol w:w="1701"/>
        <w:gridCol w:w="1701"/>
        <w:gridCol w:w="1843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0" w:firstLineChars="9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栏次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0" w:firstLineChars="9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3,727.46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1,550.45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2,177.01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教育支出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3,607.40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1,431.39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2,176.01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20501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教育管理事务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1,632.26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1,430.14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202.12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2050101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行政运行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402.08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402.08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2050102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一般行政管理事务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50.83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2050199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其他教育管理事务支出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1,179.34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977.22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202.12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普通教育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1,721.99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1,721.99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2050201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学前教育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603.68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603.68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2050204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高中教育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169.66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169.66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2050205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高等教育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2.50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2050299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其他普通教育支出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946.16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946.16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20503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职业教育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93.90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93.90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2050302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中专教育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93.90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93.90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进修及培训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2050802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干部教育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2050803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培训支出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20509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教育费附加安排的支出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2050999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其他教育费附加安排的支出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文化体育与传媒支出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体育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2070399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其他体育支出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社会保障和就业支出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抚恤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1.65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2080801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死亡抚恤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医疗卫生与计划生育支出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44.51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医疗保障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44.51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行政单位医疗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18.16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2100502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事业单位医疗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26.35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住房保障支出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住房改革支出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住房公积金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其他支出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29.65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22960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>彩票公益金及对应专项债务收入安排的支出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29.65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2296004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22"/>
              </w:rPr>
              <w:t xml:space="preserve">  用于教育事业的彩票公益金支出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29.65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E4C16"/>
    <w:rsid w:val="565E4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2017-08-07T08:06:00Z</dcterms:created>
  <dc:creator>Administrator</dc:creator>
  <cp:lastModifiedBy>Administrator</cp:lastModifiedBy>
  <dcterms:modified xsi:type="dcterms:W3CDTF">2017-08-07T08:07:33Z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