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3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846"/>
        <w:gridCol w:w="1201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无此项收入及支出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类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款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项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r>
        <w:rPr>
          <w:rFonts w:hint="eastAsia" w:ascii="仿宋_GB2312" w:hAnsi="黑体" w:eastAsia="仿宋_GB2312"/>
          <w:sz w:val="32"/>
          <w:szCs w:val="32"/>
        </w:rPr>
        <w:t>注：河池市社科联没有政府性基金财政拨款收入，也没有政府性基金安排的支出，故本表无数据。</w:t>
      </w:r>
    </w:p>
    <w:sectPr>
      <w:pgSz w:w="16838" w:h="11906" w:orient="landscape"/>
      <w:pgMar w:top="1134" w:right="1440" w:bottom="0" w:left="1440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C1CF1"/>
    <w:rsid w:val="5BB14DA3"/>
    <w:rsid w:val="604C1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2017-08-07T04:16:00Z</dcterms:created>
  <dc:creator>Administrator</dc:creator>
  <cp:lastModifiedBy>Administrator</cp:lastModifiedBy>
  <dcterms:modified xsi:type="dcterms:W3CDTF">2017-08-07T04:16:50Z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