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26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336"/>
        <w:gridCol w:w="1950"/>
        <w:gridCol w:w="1800"/>
        <w:gridCol w:w="1266"/>
        <w:gridCol w:w="761"/>
        <w:gridCol w:w="690"/>
        <w:gridCol w:w="1115"/>
        <w:gridCol w:w="1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110" w:firstLine="770" w:firstLineChars="35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1845.91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1680.34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165.56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110" w:firstLine="1100" w:firstLineChars="5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1.87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1.87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1.87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文化体育与传媒支出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1717.4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770" w:firstLineChars="3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1551.67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165.56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1085.36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919.80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165.56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2070101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830.18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666.62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163.56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2070102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一般行政管理事务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32.73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32.73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2070108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文化活动　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2070111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文化创作与保护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2070112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文化市场管理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11.03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11.03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2070199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179.42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179.42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文物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52.75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52.75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2070204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文物保护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2070205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博物馆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30.75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30.75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2070299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其他文物支出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414.16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414.16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2070305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体育竞赛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2070307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体育场馆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250.16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250.16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2070308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群众体育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2070399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其他体育支出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广播影视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2070499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其他广播影视支出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新闻出版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2070507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出版市场管理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2070599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其他新闻出版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30" w:firstLineChars="6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其他文化体育与传媒支出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145.96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145.96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2079903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文化产业发展专项支出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25.96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25.96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2079999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其他文化体育与传媒支出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210" w:firstLineChars="5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18.08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18.08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18.08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18.08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死亡抚恤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18.08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18.08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46.06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46.06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46.06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46.06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31.74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31.74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14.32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14.32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48.46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48.46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48.46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48.46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48.46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48.46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  <w:t>彩票公益金及对应专项债务收入安排的支出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2296003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用于体育事业的彩票公益金支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990" w:firstLineChars="4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14.20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134" w:right="1440" w:bottom="2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93396"/>
    <w:rsid w:val="05C97F74"/>
    <w:rsid w:val="11635D26"/>
    <w:rsid w:val="72F93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2017-08-07T02:53:00Z</dcterms:created>
  <dc:creator>Administrator</dc:creator>
  <cp:lastModifiedBy>Administrator</cp:lastModifiedBy>
  <dcterms:modified xsi:type="dcterms:W3CDTF">2017-08-07T02:56:47Z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