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表八：政府性基金预算财政拨款收入支出决算表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类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项</w:t>
            </w:r>
          </w:p>
        </w:tc>
        <w:tc>
          <w:tcPr>
            <w:tcW w:w="1144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 xml:space="preserve">  </w:t>
      </w:r>
      <w:r>
        <w:rPr>
          <w:rFonts w:hint="eastAsia"/>
          <w:b/>
          <w:sz w:val="24"/>
        </w:rPr>
        <w:t xml:space="preserve"> 说明：河池市运输管理处没有政府性基金预算财政拨款收入，所以没有政府性基金预算财政拨款安排的支出，故本表没有数据。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A3A6B"/>
    <w:rsid w:val="17FA3A6B"/>
    <w:rsid w:val="284F4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2017-08-06T05:56:00Z</dcterms:created>
  <dc:creator>Administrator</dc:creator>
  <cp:lastModifiedBy>Administrator</cp:lastModifiedBy>
  <dcterms:modified xsi:type="dcterms:W3CDTF">2017-08-06T05:56:32Z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