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</w:rPr>
      </w:pPr>
      <w:r>
        <w:rPr>
          <w:rFonts w:hint="eastAsia" w:ascii="方正小标宋简体" w:hAnsi="宋体" w:eastAsia="方正小标宋简体" w:cs="宋体"/>
          <w:kern w:val="0"/>
          <w:sz w:val="36"/>
          <w:szCs w:val="36"/>
        </w:rPr>
        <w:t>表四：财政拨款收入支出</w:t>
      </w:r>
      <w:r>
        <w:rPr>
          <w:rFonts w:hint="eastAsia" w:ascii="方正小标宋简体" w:hAnsi="宋体" w:cs="宋体"/>
          <w:kern w:val="0"/>
          <w:sz w:val="36"/>
          <w:szCs w:val="36"/>
        </w:rPr>
        <w:t>预算</w:t>
      </w:r>
      <w:r>
        <w:rPr>
          <w:rFonts w:hint="eastAsia" w:ascii="方正小标宋简体" w:hAnsi="宋体" w:eastAsia="方正小标宋简体" w:cs="宋体"/>
          <w:kern w:val="0"/>
          <w:sz w:val="36"/>
          <w:szCs w:val="36"/>
        </w:rPr>
        <w:t>总表</w:t>
      </w:r>
    </w:p>
    <w:p>
      <w:pPr>
        <w:ind w:right="220"/>
        <w:jc w:val="right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单位：万元</w:t>
      </w:r>
    </w:p>
    <w:tbl>
      <w:tblPr>
        <w:tblStyle w:val="3"/>
        <w:tblW w:w="1376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19"/>
        <w:gridCol w:w="525"/>
        <w:gridCol w:w="1036"/>
        <w:gridCol w:w="3269"/>
        <w:gridCol w:w="784"/>
        <w:gridCol w:w="1267"/>
        <w:gridCol w:w="1149"/>
        <w:gridCol w:w="131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59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MingLiU" w:hAnsi="MingLiU" w:eastAsia="MingLiU" w:cs="Arial"/>
                <w:kern w:val="0"/>
                <w:sz w:val="22"/>
                <w:szCs w:val="22"/>
              </w:rPr>
              <w:t>收 入</w:t>
            </w:r>
          </w:p>
        </w:tc>
        <w:tc>
          <w:tcPr>
            <w:tcW w:w="778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MingLiU" w:hAnsi="MingLiU" w:eastAsia="MingLiU" w:cs="Arial"/>
                <w:kern w:val="0"/>
                <w:sz w:val="22"/>
                <w:szCs w:val="22"/>
              </w:rPr>
              <w:t>支 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项 目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行次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金额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项 目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行次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合计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一般公共预算财政拨款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政府性基金预算财政拨款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栏 次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880" w:firstLineChars="4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栏 次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一、一般公共预算财政拨款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Cs w:val="21"/>
              </w:rPr>
              <w:t>134.31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一、一般公共服务支出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二、政府性基金预算财政拨款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440" w:firstLineChars="2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二、外交支出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880" w:firstLineChars="4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三、教育支出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0.93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0.93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1" w:firstLineChars="100"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四、科学技术支出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660" w:firstLineChars="3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五、文化体育与传媒支出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660" w:firstLineChars="3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六、社会保障和就业支出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880" w:firstLineChars="4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九、</w:t>
            </w: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医疗卫生与计划生育支出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8.43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8.43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十四、资源勘探信息等支出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116.48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116.48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十九、住房保障支出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8.46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8.46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……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660" w:firstLineChars="3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1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37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420" w:firstLineChars="1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540" w:firstLineChars="7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本年收入合计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134.31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本年支出合计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37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134.31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880" w:firstLineChars="4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年初财政拨款结转和结余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440" w:firstLineChars="2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年末结转和结余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37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420" w:firstLineChars="1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540" w:firstLineChars="700"/>
              <w:jc w:val="left"/>
              <w:rPr>
                <w:rFonts w:ascii="宋体" w:hAnsi="宋体" w:cs="Arial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一般公共预算财政拨款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440" w:firstLineChars="2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37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420" w:firstLineChars="1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540" w:firstLineChars="7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政府性基金预算财政拨款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440" w:firstLineChars="2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32</w:t>
            </w:r>
          </w:p>
        </w:tc>
        <w:tc>
          <w:tcPr>
            <w:tcW w:w="37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420" w:firstLineChars="1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20" w:firstLineChars="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33</w:t>
            </w:r>
          </w:p>
        </w:tc>
        <w:tc>
          <w:tcPr>
            <w:tcW w:w="37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420" w:firstLineChars="1100"/>
              <w:jc w:val="left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4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合计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134.31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kern w:val="0"/>
                <w:sz w:val="22"/>
                <w:szCs w:val="22"/>
              </w:rPr>
              <w:t>合计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34</w:t>
            </w:r>
          </w:p>
        </w:tc>
        <w:tc>
          <w:tcPr>
            <w:tcW w:w="37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b/>
                <w:color w:val="000000"/>
                <w:kern w:val="0"/>
                <w:sz w:val="22"/>
                <w:szCs w:val="22"/>
              </w:rPr>
              <w:t>134.31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283" w:right="1440" w:bottom="283" w:left="1440" w:header="851" w:footer="992" w:gutter="0"/>
      <w:paperSrc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UnicodeMS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160252"/>
    <w:rsid w:val="6A07714C"/>
    <w:rsid w:val="7B16025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2017-08-06T02:03:00Z</dcterms:created>
  <dc:creator>Administrator</dc:creator>
  <cp:lastModifiedBy>Administrator</cp:lastModifiedBy>
  <dcterms:modified xsi:type="dcterms:W3CDTF">2017-08-06T02:03:37Z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2052-10.1.0.6689</vt:lpwstr>
  </property>
</Properties>
</file>