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仿宋_GB2312" w:hAnsi="黑体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黑体" w:eastAsia="仿宋_GB2312"/>
          <w:b/>
          <w:sz w:val="36"/>
          <w:szCs w:val="36"/>
        </w:rPr>
        <w:t>2016年残疾人事业支出项目预算表</w:t>
      </w:r>
    </w:p>
    <w:bookmarkEnd w:id="0"/>
    <w:tbl>
      <w:tblPr>
        <w:tblStyle w:val="3"/>
        <w:tblW w:w="8805" w:type="dxa"/>
        <w:jc w:val="center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4700"/>
        <w:gridCol w:w="71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预  算  项  目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预算数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支出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残疾人康复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（2081104）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1.残疾儿童家长培训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2.组织开展残疾人康复需求工作经费（即辅助器具适配及发放）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3.开展社区康复协调员业务培训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残疾人就业和扶贫（2081105）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1.按比例安排残疾人就业工作经费（含残疾人就业保障金征收工作）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2.扶持残疾人个体创业经费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2.残疾人职业技能培训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农村残疾人“阳光扶贫基地”配套工作经费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残疾人体育事业支出（2081106）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选拔、培训残疾人运动员参加全区青少年残疾人运动会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其他残疾人事业支出—残疾人就业工作支出（2081199）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市残疾人就业服务指导中心及康复服务指导中心经费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1.办公经费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2.邮政、通讯费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3.差旅费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4.会议费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就业指导中心就业指导员及康复中心业务人员业务培训费用等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6.购置办公设备、计算机软件维护、技术支持服务费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7.康复服务用车车辆运行及维护费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8.水电费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9.物业管理费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其他残疾人事业支出—残疾人事业发展支出（2081199）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1.残疾人事业宣传文化经费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107.5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2.各种重大节日慰问贫困残疾人经费、残疾人临时救助经费及残疾人法律援助经费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8.地税部门代收残保金工作经费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9.重度残疾人护理补贴经费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10.残疾人“阳光家园”居家托养服务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11.电子政务外网建设经费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0"/>
                <w:szCs w:val="20"/>
              </w:rPr>
              <w:t>其他残疾人事业支出—残疾人事业建设支出（2081199）</w:t>
            </w:r>
          </w:p>
        </w:tc>
        <w:tc>
          <w:tcPr>
            <w:tcW w:w="4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市残疾人综合服务中心大楼装修及辅助设施购置等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282.2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282.2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总   计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485.20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6784C"/>
    <w:rsid w:val="08B678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2017-08-05T13:55:00Z</dcterms:created>
  <dc:creator>Administrator</dc:creator>
  <cp:lastModifiedBy>Administrator</cp:lastModifiedBy>
  <dcterms:modified xsi:type="dcterms:W3CDTF">2017-08-05T13:55:35Z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