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1"/>
        </w:rPr>
      </w:pPr>
      <w:bookmarkStart w:id="0" w:name="_GoBack"/>
      <w:r>
        <w:rPr>
          <w:rFonts w:ascii="方正小标宋简体" w:hAnsi="方正小标宋简体" w:cs="宋体"/>
          <w:sz w:val="36"/>
          <w:szCs w:val="36"/>
        </w:rPr>
        <w:t>表二：收入决算表</w:t>
      </w:r>
    </w:p>
    <w:bookmarkEnd w:id="0"/>
    <w:p>
      <w:pPr>
        <w:jc w:val="center"/>
        <w:rPr>
          <w:kern w:val="1"/>
          <w:sz w:val="22"/>
          <w:szCs w:val="22"/>
        </w:rPr>
      </w:pPr>
      <w:r>
        <w:rPr>
          <w:rFonts w:hint="eastAsia"/>
          <w:kern w:val="1"/>
          <w:sz w:val="22"/>
          <w:szCs w:val="22"/>
          <w:lang w:val="en-US" w:eastAsia="zh-CN"/>
        </w:rPr>
        <w:t xml:space="preserve">                                                                                                      </w:t>
      </w:r>
      <w:r>
        <w:rPr>
          <w:kern w:val="1"/>
          <w:sz w:val="22"/>
          <w:szCs w:val="22"/>
        </w:rPr>
        <w:t xml:space="preserve">单位：万元                     </w:t>
      </w:r>
    </w:p>
    <w:tbl>
      <w:tblPr>
        <w:tblStyle w:val="4"/>
        <w:tblW w:w="136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950"/>
        <w:gridCol w:w="1801"/>
        <w:gridCol w:w="1688"/>
        <w:gridCol w:w="1143"/>
        <w:gridCol w:w="1200"/>
        <w:gridCol w:w="1182"/>
        <w:gridCol w:w="1491"/>
        <w:gridCol w:w="1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 目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本年收入合计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财政拨款收入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上级补助收入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事业收入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经营收入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附属单位上缴收入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科目编码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科目名称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sz w:val="22"/>
                <w:szCs w:val="22"/>
              </w:rPr>
              <w:t>栏次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</w:t>
            </w: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685.05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677.93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205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教育支出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进修及培训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2050802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干部教育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210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医疗卫生与计划生育支出　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660.81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653.69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公共卫生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2100409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重大公共卫生专项　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21005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医疗保障　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2100501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行政单位医疗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食品和药品监督管理事务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570.21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563.09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2101001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行政运行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2101002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一般行政管理事务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38.90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38.90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2101012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药品事务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2101014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化妆品事务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2101015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医疗器械事务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2101016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食品安全事务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60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60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2101099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8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107.12</w:t>
            </w:r>
          </w:p>
        </w:tc>
        <w:tc>
          <w:tcPr>
            <w:tcW w:w="168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221</w:t>
            </w:r>
          </w:p>
        </w:tc>
        <w:tc>
          <w:tcPr>
            <w:tcW w:w="2950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住房保障支出</w:t>
            </w:r>
          </w:p>
        </w:tc>
        <w:tc>
          <w:tcPr>
            <w:tcW w:w="1801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688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143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住房改革支出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2210201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住房公积金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7162F"/>
    <w:rsid w:val="2BE71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2017-08-05T08:04:00Z</dcterms:created>
  <dc:creator>Administrator</dc:creator>
  <cp:lastModifiedBy>Administrator</cp:lastModifiedBy>
  <dcterms:modified xsi:type="dcterms:W3CDTF">2017-08-05T08:06:22Z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