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98"/>
        <w:gridCol w:w="473"/>
        <w:gridCol w:w="420"/>
        <w:gridCol w:w="447"/>
        <w:gridCol w:w="394"/>
        <w:gridCol w:w="473"/>
        <w:gridCol w:w="473"/>
        <w:gridCol w:w="315"/>
        <w:gridCol w:w="394"/>
        <w:gridCol w:w="395"/>
        <w:gridCol w:w="315"/>
        <w:gridCol w:w="315"/>
        <w:gridCol w:w="315"/>
        <w:gridCol w:w="1"/>
        <w:gridCol w:w="315"/>
        <w:gridCol w:w="315"/>
        <w:gridCol w:w="473"/>
        <w:gridCol w:w="3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表十、国有资本经营预算支出表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单位编码\科目编码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单位名称\科目名称</w:t>
            </w: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9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对企事业单位的补贴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转移性支付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债务利息支出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债务还本支出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基本建设支出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>
      <w:r>
        <w:rPr>
          <w:rFonts w:hint="eastAsia" w:ascii="仿宋_GB2312" w:hAnsi="Arial" w:cs="Arial"/>
          <w:kern w:val="0"/>
        </w:rPr>
        <w:t>（注：河池市残疾人联合会2017年无此项预算）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D4675"/>
    <w:rsid w:val="36ED4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2017-08-05T06:33:00Z</dcterms:created>
  <dc:creator>Administrator</dc:creator>
  <cp:lastModifiedBy>Administrator</cp:lastModifiedBy>
  <dcterms:modified xsi:type="dcterms:W3CDTF">2017-08-05T06:33:57Z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