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273"/>
        <w:gridCol w:w="477"/>
        <w:gridCol w:w="317"/>
        <w:gridCol w:w="160"/>
        <w:gridCol w:w="636"/>
        <w:gridCol w:w="557"/>
        <w:gridCol w:w="477"/>
        <w:gridCol w:w="556"/>
        <w:gridCol w:w="477"/>
        <w:gridCol w:w="229"/>
        <w:gridCol w:w="249"/>
        <w:gridCol w:w="335"/>
        <w:gridCol w:w="132"/>
        <w:gridCol w:w="1"/>
        <w:gridCol w:w="131"/>
        <w:gridCol w:w="133"/>
        <w:gridCol w:w="132"/>
        <w:gridCol w:w="90"/>
        <w:gridCol w:w="42"/>
        <w:gridCol w:w="133"/>
        <w:gridCol w:w="381"/>
        <w:gridCol w:w="477"/>
        <w:gridCol w:w="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522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</w:pPr>
            <w:bookmarkStart w:id="0" w:name="_GoBack"/>
            <w:r>
              <w:rPr>
                <w:rFonts w:hint="eastAsia" w:ascii="仿宋_GB2312" w:hAnsi="宋体" w:cs="宋体"/>
                <w:b/>
                <w:bCs/>
                <w:kern w:val="0"/>
                <w:szCs w:val="32"/>
              </w:rPr>
              <w:t>表二、部门收入总表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90" w:hRule="atLeast"/>
        </w:trPr>
        <w:tc>
          <w:tcPr>
            <w:tcW w:w="80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8"/>
                <w:szCs w:val="28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30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60" w:hRule="atLeast"/>
        </w:trPr>
        <w:tc>
          <w:tcPr>
            <w:tcW w:w="8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单位编码/科目编码</w:t>
            </w:r>
          </w:p>
        </w:tc>
        <w:tc>
          <w:tcPr>
            <w:tcW w:w="12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单位名称/科目名称</w:t>
            </w:r>
          </w:p>
        </w:tc>
        <w:tc>
          <w:tcPr>
            <w:tcW w:w="6122" w:type="dxa"/>
            <w:gridSpan w:val="2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60" w:hRule="atLeast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总计</w:t>
            </w:r>
          </w:p>
        </w:tc>
        <w:tc>
          <w:tcPr>
            <w:tcW w:w="16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一般公共预算拨款</w:t>
            </w:r>
          </w:p>
        </w:tc>
        <w:tc>
          <w:tcPr>
            <w:tcW w:w="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政府性基金预算拨款</w:t>
            </w:r>
          </w:p>
        </w:tc>
        <w:tc>
          <w:tcPr>
            <w:tcW w:w="55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纳入财政专户管理的收入安排的资金</w:t>
            </w:r>
          </w:p>
        </w:tc>
        <w:tc>
          <w:tcPr>
            <w:tcW w:w="4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未纳入财政专户管理的收入安排的资金</w:t>
            </w:r>
          </w:p>
        </w:tc>
        <w:tc>
          <w:tcPr>
            <w:tcW w:w="2465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上年结余收入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1215" w:hRule="atLeast"/>
        </w:trPr>
        <w:tc>
          <w:tcPr>
            <w:tcW w:w="8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12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经费拨款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纳入一般公共预算管理的非税收入安排的资金</w:t>
            </w:r>
          </w:p>
        </w:tc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55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一般公共预算拨款结余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政府性基金预算拨款结余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纳入财政专户管理的收入安排的资金结余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360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**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555" w:hRule="atLeast"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合计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555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305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河池市残疾人联合会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3" w:type="dxa"/>
          <w:trHeight w:val="555" w:hRule="atLeast"/>
        </w:trPr>
        <w:tc>
          <w:tcPr>
            <w:tcW w:w="8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305001</w:t>
            </w:r>
          </w:p>
        </w:tc>
        <w:tc>
          <w:tcPr>
            <w:tcW w:w="12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河池市残疾人联合会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4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648.26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6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4B04F8"/>
    <w:rsid w:val="754B04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2017-08-05T05:28:00Z</dcterms:created>
  <dc:creator>Administrator</dc:creator>
  <cp:lastModifiedBy>Administrator</cp:lastModifiedBy>
  <dcterms:modified xsi:type="dcterms:W3CDTF">2017-08-05T05:30:42Z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