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2016年“三公”经费、会议费和培训费支出预算表（公用支出）</w:t>
      </w:r>
    </w:p>
    <w:p>
      <w:pPr>
        <w:jc w:val="righ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单位：万元</w:t>
      </w:r>
    </w:p>
    <w:tbl>
      <w:tblPr>
        <w:tblStyle w:val="3"/>
        <w:tblW w:w="13599" w:type="dxa"/>
        <w:jc w:val="center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1196"/>
        <w:gridCol w:w="1195"/>
        <w:gridCol w:w="1188"/>
        <w:gridCol w:w="1189"/>
        <w:gridCol w:w="1189"/>
        <w:gridCol w:w="1189"/>
        <w:gridCol w:w="1177"/>
        <w:gridCol w:w="1034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项目类别\项目名称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总计</w:t>
            </w:r>
          </w:p>
        </w:tc>
        <w:tc>
          <w:tcPr>
            <w:tcW w:w="712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"三公"经费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会议费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培训费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因公出国(境)费用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公务接待费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公务用车费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公务用车运行费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公务用车购置费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合   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2.16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2.20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0.20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0.20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培训费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1.76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基本公用支出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0.40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0.20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0.20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0.20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ind w:firstLine="600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2016年“三公”经费、会议费和培训费支出预算表（专项支出）</w:t>
      </w:r>
    </w:p>
    <w:tbl>
      <w:tblPr>
        <w:tblStyle w:val="3"/>
        <w:tblpPr w:leftFromText="180" w:rightFromText="180" w:vertAnchor="text" w:horzAnchor="page" w:tblpX="1314" w:tblpY="303"/>
        <w:tblOverlap w:val="never"/>
        <w:tblW w:w="14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928"/>
        <w:gridCol w:w="1201"/>
        <w:gridCol w:w="1200"/>
        <w:gridCol w:w="1202"/>
        <w:gridCol w:w="1202"/>
        <w:gridCol w:w="1203"/>
        <w:gridCol w:w="1195"/>
        <w:gridCol w:w="1203"/>
        <w:gridCol w:w="1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24"/>
              </w:rPr>
              <w:t>项目类别\项目名称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总计</w:t>
            </w:r>
          </w:p>
        </w:tc>
        <w:tc>
          <w:tcPr>
            <w:tcW w:w="72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"三公"经费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会议费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培训费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因公出国(境)费用</w:t>
            </w:r>
          </w:p>
        </w:tc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公务接待费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公务用车费</w:t>
            </w:r>
          </w:p>
        </w:tc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公务用车运行费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公务用车购置费</w:t>
            </w:r>
          </w:p>
        </w:tc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合  计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28.00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2.00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　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　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2.00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2.00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市残疾人就业服务指导中心及康复服务指导中心经费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4.00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残联系统电子政务外网建设经费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残疾儿童家长培训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按比例安排残疾人就业工作经费（含残疾人就业保障金征收工作）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残疾人职业技能培训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开展社区康复协调员业务培训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3.00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3.00</w:t>
            </w:r>
          </w:p>
        </w:tc>
      </w:tr>
      <w:bookmarkEnd w:id="0"/>
    </w:tbl>
    <w:p>
      <w:pPr>
        <w:jc w:val="righ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单位：万元</w:t>
      </w:r>
    </w:p>
    <w:p/>
    <w:sectPr>
      <w:pgSz w:w="16838" w:h="11906" w:orient="landscape"/>
      <w:pgMar w:top="283" w:right="1440" w:bottom="0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3053F"/>
    <w:rsid w:val="1B896CAF"/>
    <w:rsid w:val="4FC30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2017-08-05T04:48:00Z</dcterms:created>
  <dc:creator>Administrator</dc:creator>
  <cp:lastModifiedBy>Administrator</cp:lastModifiedBy>
  <dcterms:modified xsi:type="dcterms:W3CDTF">2017-08-05T04:50:47Z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