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10.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仿宋" w:hAnsi="仿宋" w:eastAsia="仿宋" w:cs="仿宋"/>
          <w:color w:val="auto"/>
          <w:sz w:val="32"/>
          <w:szCs w:val="32"/>
          <w:highlight w:val="none"/>
        </w:rPr>
      </w:pPr>
    </w:p>
    <w:p>
      <w:pPr>
        <w:jc w:val="left"/>
        <w:rPr>
          <w:rFonts w:ascii="仿宋" w:hAnsi="仿宋" w:eastAsia="仿宋" w:cs="仿宋"/>
          <w:color w:val="auto"/>
          <w:sz w:val="32"/>
          <w:szCs w:val="32"/>
          <w:highlight w:val="none"/>
        </w:rPr>
      </w:pPr>
    </w:p>
    <w:p>
      <w:pPr>
        <w:jc w:val="left"/>
        <w:rPr>
          <w:rFonts w:ascii="仿宋" w:hAnsi="仿宋" w:eastAsia="仿宋" w:cs="仿宋"/>
          <w:color w:val="auto"/>
          <w:sz w:val="32"/>
          <w:szCs w:val="32"/>
          <w:highlight w:val="none"/>
        </w:rPr>
      </w:pPr>
    </w:p>
    <w:p>
      <w:pPr>
        <w:jc w:val="center"/>
        <w:rPr>
          <w:rFonts w:ascii="黑体" w:hAnsi="黑体" w:eastAsia="黑体" w:cs="黑体"/>
          <w:b/>
          <w:bCs/>
          <w:color w:val="auto"/>
          <w:sz w:val="52"/>
          <w:szCs w:val="52"/>
          <w:highlight w:val="none"/>
        </w:rPr>
      </w:pPr>
      <w:r>
        <w:rPr>
          <w:rFonts w:hint="eastAsia" w:ascii="黑体" w:hAnsi="黑体" w:eastAsia="黑体" w:cs="黑体"/>
          <w:b/>
          <w:bCs/>
          <w:color w:val="auto"/>
          <w:sz w:val="52"/>
          <w:szCs w:val="52"/>
          <w:highlight w:val="none"/>
        </w:rPr>
        <w:t>河池市生态环境局2022年度部门</w:t>
      </w:r>
      <w:r>
        <w:rPr>
          <w:rFonts w:hint="eastAsia" w:ascii="黑体" w:hAnsi="黑体" w:eastAsia="黑体" w:cs="黑体"/>
          <w:b/>
          <w:bCs/>
          <w:color w:val="auto"/>
          <w:sz w:val="52"/>
          <w:szCs w:val="52"/>
          <w:highlight w:val="none"/>
          <w:lang w:val="en-US" w:eastAsia="zh-CN"/>
        </w:rPr>
        <w:t xml:space="preserve">  </w:t>
      </w:r>
      <w:r>
        <w:rPr>
          <w:rFonts w:hint="eastAsia" w:ascii="黑体" w:hAnsi="黑体" w:eastAsia="黑体" w:cs="黑体"/>
          <w:b/>
          <w:bCs/>
          <w:color w:val="auto"/>
          <w:sz w:val="52"/>
          <w:szCs w:val="52"/>
          <w:highlight w:val="none"/>
        </w:rPr>
        <w:t>决算</w:t>
      </w:r>
    </w:p>
    <w:p>
      <w:pPr>
        <w:jc w:val="center"/>
        <w:rPr>
          <w:rFonts w:ascii="仿宋" w:hAnsi="仿宋" w:eastAsia="仿宋" w:cs="仿宋"/>
          <w:color w:val="auto"/>
          <w:sz w:val="32"/>
          <w:szCs w:val="32"/>
          <w:highlight w:val="none"/>
        </w:rPr>
      </w:pPr>
    </w:p>
    <w:p>
      <w:pPr>
        <w:jc w:val="left"/>
        <w:rPr>
          <w:rFonts w:ascii="仿宋" w:hAnsi="仿宋" w:eastAsia="仿宋" w:cs="仿宋"/>
          <w:color w:val="auto"/>
          <w:sz w:val="32"/>
          <w:szCs w:val="32"/>
          <w:highlight w:val="none"/>
        </w:rPr>
      </w:pPr>
    </w:p>
    <w:p>
      <w:pPr>
        <w:jc w:val="left"/>
        <w:rPr>
          <w:rFonts w:ascii="仿宋" w:hAnsi="仿宋" w:eastAsia="仿宋" w:cs="仿宋"/>
          <w:color w:val="auto"/>
          <w:sz w:val="32"/>
          <w:szCs w:val="32"/>
          <w:highlight w:val="none"/>
        </w:rPr>
      </w:pPr>
    </w:p>
    <w:p>
      <w:pPr>
        <w:jc w:val="left"/>
        <w:rPr>
          <w:rFonts w:ascii="仿宋" w:hAnsi="仿宋" w:eastAsia="仿宋" w:cs="仿宋"/>
          <w:color w:val="auto"/>
          <w:sz w:val="32"/>
          <w:szCs w:val="32"/>
          <w:highlight w:val="none"/>
        </w:rPr>
      </w:pPr>
    </w:p>
    <w:p>
      <w:pPr>
        <w:jc w:val="left"/>
        <w:rPr>
          <w:rFonts w:ascii="仿宋" w:hAnsi="仿宋" w:eastAsia="仿宋" w:cs="仿宋"/>
          <w:color w:val="auto"/>
          <w:sz w:val="32"/>
          <w:szCs w:val="32"/>
          <w:highlight w:val="none"/>
        </w:rPr>
      </w:pPr>
    </w:p>
    <w:p>
      <w:pPr>
        <w:jc w:val="left"/>
        <w:rPr>
          <w:rFonts w:ascii="仿宋" w:hAnsi="仿宋" w:eastAsia="仿宋" w:cs="仿宋"/>
          <w:color w:val="auto"/>
          <w:sz w:val="32"/>
          <w:szCs w:val="32"/>
          <w:highlight w:val="none"/>
        </w:rPr>
      </w:pPr>
    </w:p>
    <w:p>
      <w:pPr>
        <w:jc w:val="left"/>
        <w:rPr>
          <w:rFonts w:ascii="仿宋" w:hAnsi="仿宋" w:eastAsia="仿宋" w:cs="仿宋"/>
          <w:color w:val="auto"/>
          <w:sz w:val="32"/>
          <w:szCs w:val="32"/>
          <w:highlight w:val="none"/>
        </w:rPr>
      </w:pPr>
    </w:p>
    <w:p>
      <w:pPr>
        <w:jc w:val="left"/>
        <w:rPr>
          <w:rFonts w:ascii="仿宋" w:hAnsi="仿宋" w:eastAsia="仿宋" w:cs="仿宋"/>
          <w:color w:val="auto"/>
          <w:sz w:val="32"/>
          <w:szCs w:val="32"/>
          <w:highlight w:val="none"/>
        </w:rPr>
      </w:pPr>
    </w:p>
    <w:p>
      <w:pPr>
        <w:jc w:val="left"/>
        <w:rPr>
          <w:rFonts w:ascii="仿宋" w:hAnsi="仿宋" w:eastAsia="仿宋" w:cs="仿宋"/>
          <w:color w:val="auto"/>
          <w:sz w:val="32"/>
          <w:szCs w:val="32"/>
          <w:highlight w:val="none"/>
        </w:rPr>
      </w:pPr>
    </w:p>
    <w:p>
      <w:pPr>
        <w:jc w:val="left"/>
        <w:rPr>
          <w:rFonts w:ascii="仿宋" w:hAnsi="仿宋" w:eastAsia="仿宋" w:cs="仿宋"/>
          <w:color w:val="auto"/>
          <w:sz w:val="32"/>
          <w:szCs w:val="32"/>
          <w:highlight w:val="none"/>
        </w:rPr>
      </w:pPr>
    </w:p>
    <w:p>
      <w:pPr>
        <w:jc w:val="left"/>
        <w:rPr>
          <w:rFonts w:ascii="仿宋" w:hAnsi="仿宋" w:eastAsia="仿宋" w:cs="仿宋"/>
          <w:color w:val="auto"/>
          <w:sz w:val="32"/>
          <w:szCs w:val="32"/>
          <w:highlight w:val="none"/>
        </w:rPr>
      </w:pPr>
    </w:p>
    <w:p>
      <w:pPr>
        <w:jc w:val="left"/>
        <w:rPr>
          <w:rFonts w:ascii="仿宋" w:hAnsi="仿宋" w:eastAsia="仿宋" w:cs="仿宋"/>
          <w:color w:val="auto"/>
          <w:sz w:val="32"/>
          <w:szCs w:val="32"/>
          <w:highlight w:val="none"/>
        </w:rPr>
      </w:pPr>
    </w:p>
    <w:p>
      <w:pPr>
        <w:jc w:val="left"/>
        <w:rPr>
          <w:rFonts w:ascii="仿宋" w:hAnsi="仿宋" w:eastAsia="仿宋" w:cs="仿宋"/>
          <w:color w:val="auto"/>
          <w:sz w:val="32"/>
          <w:szCs w:val="32"/>
          <w:highlight w:val="none"/>
        </w:rPr>
      </w:pPr>
    </w:p>
    <w:p>
      <w:pPr>
        <w:jc w:val="left"/>
        <w:rPr>
          <w:rFonts w:ascii="仿宋" w:hAnsi="仿宋" w:eastAsia="仿宋" w:cs="仿宋"/>
          <w:color w:val="auto"/>
          <w:sz w:val="32"/>
          <w:szCs w:val="32"/>
          <w:highlight w:val="none"/>
        </w:rPr>
      </w:pPr>
    </w:p>
    <w:p>
      <w:pPr>
        <w:jc w:val="center"/>
        <w:rPr>
          <w:rFonts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rPr>
        <w:t>2023年</w:t>
      </w:r>
      <w:r>
        <w:rPr>
          <w:rFonts w:hint="eastAsia" w:ascii="黑体" w:hAnsi="黑体" w:eastAsia="黑体" w:cs="黑体"/>
          <w:b/>
          <w:bCs/>
          <w:color w:val="auto"/>
          <w:sz w:val="36"/>
          <w:szCs w:val="36"/>
          <w:highlight w:val="none"/>
          <w:lang w:val="en-US" w:eastAsia="zh-CN"/>
        </w:rPr>
        <w:t>9</w:t>
      </w:r>
      <w:r>
        <w:rPr>
          <w:rFonts w:hint="eastAsia" w:ascii="黑体" w:hAnsi="黑体" w:eastAsia="黑体" w:cs="黑体"/>
          <w:b/>
          <w:bCs/>
          <w:color w:val="auto"/>
          <w:sz w:val="36"/>
          <w:szCs w:val="36"/>
          <w:highlight w:val="none"/>
        </w:rPr>
        <w:t>月</w:t>
      </w:r>
    </w:p>
    <w:p>
      <w:pPr>
        <w:rPr>
          <w:rFonts w:ascii="仿宋" w:hAnsi="仿宋" w:eastAsia="仿宋" w:cs="仿宋"/>
          <w:color w:val="auto"/>
          <w:sz w:val="32"/>
          <w:szCs w:val="32"/>
          <w:highlight w:val="none"/>
        </w:rPr>
      </w:pPr>
      <w:r>
        <w:rPr>
          <w:rFonts w:ascii="仿宋" w:hAnsi="仿宋" w:eastAsia="仿宋" w:cs="仿宋"/>
          <w:color w:val="auto"/>
          <w:sz w:val="32"/>
          <w:szCs w:val="32"/>
          <w:highlight w:val="none"/>
        </w:rPr>
        <w:br w:type="page"/>
      </w:r>
    </w:p>
    <w:p>
      <w:pPr>
        <w:jc w:val="center"/>
        <w:rPr>
          <w:rFonts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rPr>
        <w:t>目    录</w:t>
      </w:r>
    </w:p>
    <w:p>
      <w:pPr>
        <w:jc w:val="left"/>
        <w:rPr>
          <w:rFonts w:ascii="黑体" w:hAnsi="黑体" w:eastAsia="黑体" w:cs="黑体"/>
          <w:b/>
          <w:bCs/>
          <w:color w:val="auto"/>
          <w:sz w:val="36"/>
          <w:szCs w:val="36"/>
          <w:highlight w:val="none"/>
        </w:rPr>
      </w:pPr>
    </w:p>
    <w:p>
      <w:pPr>
        <w:jc w:val="left"/>
        <w:rPr>
          <w:rFonts w:ascii="仿宋" w:hAnsi="仿宋" w:eastAsia="仿宋" w:cs="仿宋"/>
          <w:color w:val="auto"/>
          <w:sz w:val="32"/>
          <w:szCs w:val="32"/>
          <w:highlight w:val="none"/>
        </w:rPr>
      </w:pPr>
      <w:r>
        <w:rPr>
          <w:rFonts w:hint="eastAsia" w:ascii="黑体" w:hAnsi="黑体" w:eastAsia="黑体" w:cs="黑体"/>
          <w:color w:val="auto"/>
          <w:sz w:val="32"/>
          <w:szCs w:val="32"/>
          <w:highlight w:val="none"/>
        </w:rPr>
        <w:t>第一部分：</w:t>
      </w:r>
      <w:r>
        <w:rPr>
          <w:rFonts w:ascii="黑体" w:hAnsi="黑体" w:eastAsia="黑体" w:cs="黑体"/>
          <w:color w:val="auto"/>
          <w:sz w:val="32"/>
          <w:u w:color="auto"/>
        </w:rPr>
        <w:t>河池市生态环境局</w:t>
      </w:r>
      <w:r>
        <w:rPr>
          <w:rFonts w:hint="eastAsia" w:ascii="黑体" w:hAnsi="黑体" w:eastAsia="黑体" w:cs="黑体"/>
          <w:color w:val="auto"/>
          <w:sz w:val="32"/>
          <w:szCs w:val="32"/>
          <w:highlight w:val="none"/>
        </w:rPr>
        <w:t>概况</w:t>
      </w:r>
    </w:p>
    <w:p>
      <w:pPr>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一、主要职能</w:t>
      </w:r>
      <w:bookmarkStart w:id="4" w:name="_GoBack"/>
      <w:bookmarkEnd w:id="4"/>
    </w:p>
    <w:p>
      <w:pPr>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二、部门决算单位构成</w:t>
      </w:r>
    </w:p>
    <w:p>
      <w:pPr>
        <w:jc w:val="left"/>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第二部分：</w:t>
      </w:r>
      <w:r>
        <w:rPr>
          <w:rFonts w:ascii="黑体" w:hAnsi="黑体" w:eastAsia="黑体" w:cs="黑体"/>
          <w:color w:val="auto"/>
          <w:sz w:val="32"/>
          <w:u w:color="auto"/>
        </w:rPr>
        <w:t>河池市生态环境局</w:t>
      </w:r>
      <w:r>
        <w:rPr>
          <w:rFonts w:hint="eastAsia" w:ascii="黑体" w:hAnsi="黑体" w:eastAsia="黑体" w:cs="黑体"/>
          <w:color w:val="auto"/>
          <w:sz w:val="32"/>
          <w:szCs w:val="32"/>
          <w:highlight w:val="none"/>
        </w:rPr>
        <w:t>2022年度部门决算报表</w:t>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表一：收入支出决算总表</w:t>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表二：收入决算表</w:t>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表三：支出决算表</w:t>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表四：财政拨款收入支出决算总表</w:t>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表五：一般公共预算财政拨款支出决算表</w:t>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表六：一般公共预算财政拨款基本支出决算明细表</w:t>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表七：政府性基金</w:t>
      </w:r>
      <w:r>
        <w:rPr>
          <w:rFonts w:hint="eastAsia" w:ascii="仿宋_GB2312" w:hAnsi="黑体" w:eastAsia="仿宋_GB2312"/>
          <w:color w:val="auto"/>
          <w:sz w:val="32"/>
          <w:szCs w:val="32"/>
          <w:highlight w:val="none"/>
        </w:rPr>
        <w:t>预算财政拨款</w:t>
      </w:r>
      <w:r>
        <w:rPr>
          <w:rFonts w:hint="eastAsia" w:ascii="仿宋_GB2312" w:eastAsia="仿宋_GB2312"/>
          <w:color w:val="auto"/>
          <w:sz w:val="32"/>
          <w:szCs w:val="32"/>
          <w:highlight w:val="none"/>
        </w:rPr>
        <w:t>收入支出决算表</w:t>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表八：国有资本经营预算</w:t>
      </w:r>
      <w:r>
        <w:rPr>
          <w:rFonts w:hint="eastAsia" w:ascii="仿宋_GB2312" w:hAnsi="黑体" w:eastAsia="仿宋_GB2312"/>
          <w:color w:val="auto"/>
          <w:sz w:val="32"/>
          <w:szCs w:val="32"/>
          <w:highlight w:val="none"/>
        </w:rPr>
        <w:t>财政拨款</w:t>
      </w:r>
      <w:r>
        <w:rPr>
          <w:rFonts w:hint="eastAsia" w:ascii="仿宋_GB2312" w:eastAsia="仿宋_GB2312"/>
          <w:color w:val="auto"/>
          <w:sz w:val="32"/>
          <w:szCs w:val="32"/>
          <w:highlight w:val="none"/>
        </w:rPr>
        <w:t>支出决算表</w:t>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表九：一般公共预算财政拨款安排的“三公”经费支出决算表</w:t>
      </w:r>
    </w:p>
    <w:p>
      <w:pPr>
        <w:jc w:val="left"/>
        <w:rPr>
          <w:rFonts w:ascii="仿宋" w:hAnsi="仿宋" w:eastAsia="仿宋" w:cs="仿宋"/>
          <w:color w:val="auto"/>
          <w:sz w:val="32"/>
          <w:szCs w:val="32"/>
          <w:highlight w:val="none"/>
        </w:rPr>
      </w:pPr>
      <w:r>
        <w:rPr>
          <w:rFonts w:hint="eastAsia" w:ascii="黑体" w:hAnsi="黑体" w:eastAsia="黑体" w:cs="黑体"/>
          <w:color w:val="auto"/>
          <w:sz w:val="32"/>
          <w:szCs w:val="32"/>
          <w:highlight w:val="none"/>
        </w:rPr>
        <w:t>第三部分：</w:t>
      </w:r>
      <w:r>
        <w:rPr>
          <w:rFonts w:ascii="黑体" w:hAnsi="黑体" w:eastAsia="黑体" w:cs="黑体"/>
          <w:color w:val="auto"/>
          <w:sz w:val="32"/>
          <w:u w:color="auto"/>
        </w:rPr>
        <w:t>河池市生态环境局</w:t>
      </w:r>
      <w:r>
        <w:rPr>
          <w:rFonts w:hint="eastAsia" w:ascii="黑体" w:hAnsi="黑体" w:eastAsia="黑体" w:cs="黑体"/>
          <w:color w:val="auto"/>
          <w:sz w:val="32"/>
          <w:szCs w:val="32"/>
          <w:highlight w:val="none"/>
        </w:rPr>
        <w:t>2022年度部门决算情况说明</w:t>
      </w:r>
    </w:p>
    <w:p>
      <w:pPr>
        <w:autoSpaceDE w:val="0"/>
        <w:autoSpaceDN w:val="0"/>
        <w:adjustRightInd w:val="0"/>
        <w:jc w:val="left"/>
        <w:rPr>
          <w:rFonts w:hint="eastAsia" w:ascii="仿宋_GB2312" w:eastAsia="仿宋_GB2312" w:cs="仿宋_GB2312"/>
          <w:color w:val="auto"/>
          <w:kern w:val="0"/>
          <w:sz w:val="32"/>
          <w:szCs w:val="32"/>
          <w:highlight w:val="none"/>
        </w:rPr>
      </w:pPr>
      <w:r>
        <w:rPr>
          <w:rFonts w:hint="eastAsia" w:ascii="仿宋_GB2312" w:eastAsia="仿宋_GB2312" w:cs="仿宋_GB2312"/>
          <w:color w:val="auto"/>
          <w:kern w:val="0"/>
          <w:sz w:val="32"/>
          <w:szCs w:val="32"/>
          <w:highlight w:val="none"/>
        </w:rPr>
        <w:t>一、</w:t>
      </w:r>
      <w:r>
        <w:rPr>
          <w:rFonts w:hint="eastAsia" w:ascii="仿宋_GB2312" w:eastAsia="仿宋_GB2312"/>
          <w:color w:val="auto"/>
          <w:kern w:val="0"/>
          <w:sz w:val="32"/>
          <w:szCs w:val="32"/>
          <w:highlight w:val="none"/>
        </w:rPr>
        <w:t>202</w:t>
      </w:r>
      <w:r>
        <w:rPr>
          <w:rFonts w:hint="eastAsia" w:ascii="仿宋_GB2312" w:eastAsia="仿宋_GB2312"/>
          <w:color w:val="auto"/>
          <w:kern w:val="0"/>
          <w:sz w:val="32"/>
          <w:szCs w:val="32"/>
          <w:highlight w:val="none"/>
          <w:lang w:val="en-US" w:eastAsia="zh-CN"/>
        </w:rPr>
        <w:t>2</w:t>
      </w:r>
      <w:r>
        <w:rPr>
          <w:rFonts w:hint="eastAsia" w:ascii="仿宋_GB2312" w:eastAsia="仿宋_GB2312" w:cs="仿宋_GB2312"/>
          <w:color w:val="auto"/>
          <w:kern w:val="0"/>
          <w:sz w:val="32"/>
          <w:szCs w:val="32"/>
          <w:highlight w:val="none"/>
        </w:rPr>
        <w:t>年度收入支出决算总体情况。</w:t>
      </w:r>
    </w:p>
    <w:p>
      <w:pPr>
        <w:autoSpaceDE w:val="0"/>
        <w:autoSpaceDN w:val="0"/>
        <w:adjustRightInd w:val="0"/>
        <w:jc w:val="left"/>
        <w:rPr>
          <w:rFonts w:hint="eastAsia" w:ascii="仿宋_GB2312" w:eastAsia="仿宋_GB2312" w:cs="仿宋_GB2312"/>
          <w:color w:val="auto"/>
          <w:kern w:val="0"/>
          <w:sz w:val="32"/>
          <w:szCs w:val="32"/>
          <w:highlight w:val="none"/>
        </w:rPr>
      </w:pPr>
      <w:r>
        <w:rPr>
          <w:rFonts w:hint="eastAsia" w:ascii="仿宋_GB2312" w:eastAsia="仿宋_GB2312" w:cs="仿宋_GB2312"/>
          <w:color w:val="auto"/>
          <w:kern w:val="0"/>
          <w:sz w:val="32"/>
          <w:szCs w:val="32"/>
          <w:highlight w:val="none"/>
        </w:rPr>
        <w:t>二、</w:t>
      </w:r>
      <w:r>
        <w:rPr>
          <w:rFonts w:hint="eastAsia" w:ascii="仿宋_GB2312" w:eastAsia="仿宋_GB2312"/>
          <w:color w:val="auto"/>
          <w:kern w:val="0"/>
          <w:sz w:val="32"/>
          <w:szCs w:val="32"/>
          <w:highlight w:val="none"/>
        </w:rPr>
        <w:t>20</w:t>
      </w:r>
      <w:r>
        <w:rPr>
          <w:rFonts w:hint="eastAsia" w:ascii="仿宋_GB2312" w:eastAsia="仿宋_GB2312"/>
          <w:color w:val="auto"/>
          <w:kern w:val="0"/>
          <w:sz w:val="32"/>
          <w:szCs w:val="32"/>
          <w:highlight w:val="none"/>
          <w:lang w:val="en-US" w:eastAsia="zh-CN"/>
        </w:rPr>
        <w:t>22</w:t>
      </w:r>
      <w:r>
        <w:rPr>
          <w:rFonts w:hint="eastAsia" w:ascii="仿宋_GB2312" w:eastAsia="仿宋_GB2312" w:cs="仿宋_GB2312"/>
          <w:color w:val="auto"/>
          <w:kern w:val="0"/>
          <w:sz w:val="32"/>
          <w:szCs w:val="32"/>
          <w:highlight w:val="none"/>
        </w:rPr>
        <w:t>年度</w:t>
      </w:r>
      <w:r>
        <w:rPr>
          <w:rFonts w:hint="eastAsia" w:ascii="仿宋_GB2312" w:eastAsia="仿宋_GB2312"/>
          <w:color w:val="auto"/>
          <w:sz w:val="32"/>
          <w:szCs w:val="32"/>
          <w:highlight w:val="none"/>
        </w:rPr>
        <w:t>一般</w:t>
      </w:r>
      <w:r>
        <w:rPr>
          <w:rFonts w:hint="eastAsia" w:ascii="仿宋_GB2312" w:eastAsia="仿宋_GB2312" w:cs="仿宋_GB2312"/>
          <w:color w:val="auto"/>
          <w:kern w:val="0"/>
          <w:sz w:val="32"/>
          <w:szCs w:val="32"/>
          <w:highlight w:val="none"/>
        </w:rPr>
        <w:t>公共预算财政拨款支出决算情况。</w:t>
      </w:r>
    </w:p>
    <w:p>
      <w:pPr>
        <w:autoSpaceDE w:val="0"/>
        <w:autoSpaceDN w:val="0"/>
        <w:adjustRightInd w:val="0"/>
        <w:jc w:val="left"/>
        <w:rPr>
          <w:rFonts w:hint="eastAsia" w:ascii="仿宋_GB2312" w:eastAsia="仿宋_GB2312" w:cs="仿宋_GB2312"/>
          <w:color w:val="auto"/>
          <w:kern w:val="0"/>
          <w:sz w:val="32"/>
          <w:szCs w:val="32"/>
          <w:highlight w:val="none"/>
        </w:rPr>
      </w:pPr>
      <w:r>
        <w:rPr>
          <w:rFonts w:hint="eastAsia" w:ascii="仿宋_GB2312" w:eastAsia="仿宋_GB2312" w:cs="仿宋_GB2312"/>
          <w:color w:val="auto"/>
          <w:kern w:val="0"/>
          <w:sz w:val="32"/>
          <w:szCs w:val="32"/>
          <w:highlight w:val="none"/>
        </w:rPr>
        <w:t>三、20</w:t>
      </w:r>
      <w:r>
        <w:rPr>
          <w:rFonts w:hint="eastAsia" w:ascii="仿宋_GB2312" w:eastAsia="仿宋_GB2312" w:cs="仿宋_GB2312"/>
          <w:color w:val="auto"/>
          <w:kern w:val="0"/>
          <w:sz w:val="32"/>
          <w:szCs w:val="32"/>
          <w:highlight w:val="none"/>
          <w:lang w:val="en-US" w:eastAsia="zh-CN"/>
        </w:rPr>
        <w:t>22</w:t>
      </w:r>
      <w:r>
        <w:rPr>
          <w:rFonts w:hint="eastAsia" w:ascii="仿宋_GB2312" w:eastAsia="仿宋_GB2312" w:cs="仿宋_GB2312"/>
          <w:color w:val="auto"/>
          <w:kern w:val="0"/>
          <w:sz w:val="32"/>
          <w:szCs w:val="32"/>
          <w:highlight w:val="none"/>
        </w:rPr>
        <w:t>年度一般公共预算财政拨款基本支出决算情况说明。</w:t>
      </w:r>
    </w:p>
    <w:p>
      <w:pPr>
        <w:autoSpaceDE w:val="0"/>
        <w:autoSpaceDN w:val="0"/>
        <w:adjustRightInd w:val="0"/>
        <w:jc w:val="left"/>
        <w:rPr>
          <w:rFonts w:hint="eastAsia" w:ascii="仿宋_GB2312" w:eastAsia="仿宋_GB2312" w:cs="仿宋_GB2312"/>
          <w:color w:val="auto"/>
          <w:kern w:val="0"/>
          <w:sz w:val="32"/>
          <w:szCs w:val="32"/>
          <w:highlight w:val="none"/>
        </w:rPr>
      </w:pPr>
      <w:r>
        <w:rPr>
          <w:rFonts w:hint="eastAsia" w:ascii="仿宋_GB2312" w:eastAsia="仿宋_GB2312" w:cs="仿宋_GB2312"/>
          <w:color w:val="auto"/>
          <w:kern w:val="0"/>
          <w:sz w:val="32"/>
          <w:szCs w:val="32"/>
          <w:highlight w:val="none"/>
        </w:rPr>
        <w:t>四、</w:t>
      </w:r>
      <w:r>
        <w:rPr>
          <w:rFonts w:hint="eastAsia" w:ascii="仿宋_GB2312" w:eastAsia="仿宋_GB2312"/>
          <w:color w:val="auto"/>
          <w:kern w:val="0"/>
          <w:sz w:val="32"/>
          <w:szCs w:val="32"/>
          <w:highlight w:val="none"/>
        </w:rPr>
        <w:t>20</w:t>
      </w:r>
      <w:r>
        <w:rPr>
          <w:rFonts w:hint="eastAsia" w:ascii="仿宋_GB2312" w:eastAsia="仿宋_GB2312"/>
          <w:color w:val="auto"/>
          <w:kern w:val="0"/>
          <w:sz w:val="32"/>
          <w:szCs w:val="32"/>
          <w:highlight w:val="none"/>
          <w:lang w:val="en-US" w:eastAsia="zh-CN"/>
        </w:rPr>
        <w:t>22</w:t>
      </w:r>
      <w:r>
        <w:rPr>
          <w:rFonts w:hint="eastAsia" w:ascii="仿宋_GB2312" w:eastAsia="仿宋_GB2312" w:cs="仿宋_GB2312"/>
          <w:color w:val="auto"/>
          <w:kern w:val="0"/>
          <w:sz w:val="32"/>
          <w:szCs w:val="32"/>
          <w:highlight w:val="none"/>
        </w:rPr>
        <w:t>年度政府性基金支出决算情况。</w:t>
      </w:r>
    </w:p>
    <w:p>
      <w:pPr>
        <w:autoSpaceDE w:val="0"/>
        <w:autoSpaceDN w:val="0"/>
        <w:adjustRightInd w:val="0"/>
        <w:jc w:val="left"/>
        <w:rPr>
          <w:rFonts w:hint="eastAsia" w:ascii="仿宋_GB2312" w:eastAsia="仿宋_GB2312" w:cs="仿宋_GB2312"/>
          <w:color w:val="auto"/>
          <w:kern w:val="0"/>
          <w:sz w:val="32"/>
          <w:szCs w:val="32"/>
          <w:highlight w:val="none"/>
          <w:lang w:eastAsia="zh-CN"/>
        </w:rPr>
      </w:pPr>
      <w:r>
        <w:rPr>
          <w:rFonts w:hint="eastAsia" w:ascii="仿宋_GB2312" w:eastAsia="仿宋_GB2312" w:cs="仿宋_GB2312"/>
          <w:color w:val="auto"/>
          <w:kern w:val="0"/>
          <w:sz w:val="32"/>
          <w:szCs w:val="32"/>
          <w:highlight w:val="none"/>
        </w:rPr>
        <w:t>五、20</w:t>
      </w:r>
      <w:r>
        <w:rPr>
          <w:rFonts w:hint="eastAsia" w:ascii="仿宋_GB2312" w:eastAsia="仿宋_GB2312" w:cs="仿宋_GB2312"/>
          <w:color w:val="auto"/>
          <w:kern w:val="0"/>
          <w:sz w:val="32"/>
          <w:szCs w:val="32"/>
          <w:highlight w:val="none"/>
          <w:lang w:val="en-US" w:eastAsia="zh-CN"/>
        </w:rPr>
        <w:t>22</w:t>
      </w:r>
      <w:r>
        <w:rPr>
          <w:rFonts w:hint="eastAsia" w:ascii="仿宋_GB2312" w:eastAsia="仿宋_GB2312" w:cs="仿宋_GB2312"/>
          <w:color w:val="auto"/>
          <w:kern w:val="0"/>
          <w:sz w:val="32"/>
          <w:szCs w:val="32"/>
          <w:highlight w:val="none"/>
        </w:rPr>
        <w:t>年度国有资本经营预算支出决算情况</w:t>
      </w:r>
      <w:r>
        <w:rPr>
          <w:rFonts w:hint="eastAsia" w:ascii="仿宋_GB2312" w:eastAsia="仿宋_GB2312" w:cs="仿宋_GB2312"/>
          <w:color w:val="auto"/>
          <w:kern w:val="0"/>
          <w:sz w:val="32"/>
          <w:szCs w:val="32"/>
          <w:highlight w:val="none"/>
          <w:lang w:eastAsia="zh-CN"/>
        </w:rPr>
        <w:t>。</w:t>
      </w:r>
    </w:p>
    <w:p>
      <w:pPr>
        <w:autoSpaceDE w:val="0"/>
        <w:autoSpaceDN w:val="0"/>
        <w:adjustRightInd w:val="0"/>
        <w:jc w:val="left"/>
        <w:rPr>
          <w:rFonts w:hint="eastAsia" w:ascii="仿宋_GB2312" w:eastAsia="仿宋_GB2312" w:cs="仿宋_GB2312"/>
          <w:color w:val="auto"/>
          <w:kern w:val="0"/>
          <w:sz w:val="32"/>
          <w:szCs w:val="32"/>
          <w:highlight w:val="none"/>
        </w:rPr>
      </w:pPr>
      <w:r>
        <w:rPr>
          <w:rFonts w:hint="eastAsia" w:ascii="仿宋_GB2312" w:eastAsia="仿宋_GB2312" w:cs="仿宋_GB2312"/>
          <w:color w:val="auto"/>
          <w:kern w:val="0"/>
          <w:sz w:val="32"/>
          <w:szCs w:val="32"/>
          <w:highlight w:val="none"/>
        </w:rPr>
        <w:t>六、</w:t>
      </w:r>
      <w:r>
        <w:rPr>
          <w:rFonts w:hint="eastAsia" w:ascii="仿宋_GB2312" w:eastAsia="仿宋_GB2312"/>
          <w:color w:val="auto"/>
          <w:sz w:val="32"/>
          <w:szCs w:val="32"/>
          <w:highlight w:val="none"/>
        </w:rPr>
        <w:t>一般</w:t>
      </w:r>
      <w:r>
        <w:rPr>
          <w:rFonts w:hint="eastAsia" w:ascii="仿宋_GB2312" w:eastAsia="仿宋_GB2312" w:cs="仿宋_GB2312"/>
          <w:color w:val="auto"/>
          <w:kern w:val="0"/>
          <w:sz w:val="32"/>
          <w:szCs w:val="32"/>
          <w:highlight w:val="none"/>
        </w:rPr>
        <w:t>公共预算财政拨款安排的“三公”经费支出决算情况说明。</w:t>
      </w:r>
    </w:p>
    <w:p>
      <w:pPr>
        <w:autoSpaceDE w:val="0"/>
        <w:autoSpaceDN w:val="0"/>
        <w:adjustRightInd w:val="0"/>
        <w:jc w:val="left"/>
        <w:rPr>
          <w:rFonts w:hint="eastAsia" w:ascii="仿宋_GB2312" w:eastAsia="仿宋_GB2312" w:cs="仿宋_GB2312"/>
          <w:color w:val="auto"/>
          <w:kern w:val="0"/>
          <w:sz w:val="32"/>
          <w:szCs w:val="32"/>
          <w:highlight w:val="none"/>
        </w:rPr>
      </w:pPr>
      <w:r>
        <w:rPr>
          <w:rFonts w:hint="eastAsia" w:ascii="仿宋_GB2312" w:eastAsia="仿宋_GB2312" w:cs="仿宋_GB2312"/>
          <w:color w:val="auto"/>
          <w:kern w:val="0"/>
          <w:sz w:val="32"/>
          <w:szCs w:val="32"/>
          <w:highlight w:val="none"/>
        </w:rPr>
        <w:t>七、其他重要事项情况说明。</w:t>
      </w:r>
    </w:p>
    <w:p>
      <w:pPr>
        <w:jc w:val="left"/>
        <w:rPr>
          <w:rFonts w:hint="eastAsia" w:ascii="仿宋_GB2312" w:eastAsia="仿宋_GB2312" w:cs="仿宋_GB2312"/>
          <w:color w:val="auto"/>
          <w:kern w:val="0"/>
          <w:sz w:val="32"/>
          <w:szCs w:val="32"/>
          <w:highlight w:val="none"/>
          <w:lang w:eastAsia="zh-CN"/>
        </w:rPr>
      </w:pPr>
      <w:r>
        <w:rPr>
          <w:rFonts w:hint="default" w:ascii="仿宋_GB2312" w:eastAsia="仿宋_GB2312" w:cs="仿宋_GB2312"/>
          <w:color w:val="auto"/>
          <w:kern w:val="0"/>
          <w:sz w:val="32"/>
          <w:szCs w:val="32"/>
          <w:highlight w:val="none"/>
        </w:rPr>
        <w:t>八、预算绩效管理工作开展情况</w:t>
      </w:r>
      <w:r>
        <w:rPr>
          <w:rFonts w:hint="eastAsia" w:ascii="仿宋_GB2312" w:eastAsia="仿宋_GB2312" w:cs="仿宋_GB2312"/>
          <w:color w:val="auto"/>
          <w:kern w:val="0"/>
          <w:sz w:val="32"/>
          <w:szCs w:val="32"/>
          <w:highlight w:val="none"/>
          <w:lang w:eastAsia="zh-CN"/>
        </w:rPr>
        <w:t>。</w:t>
      </w:r>
    </w:p>
    <w:p>
      <w:pPr>
        <w:jc w:val="left"/>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第四部分：名词解释</w:t>
      </w:r>
    </w:p>
    <w:p>
      <w:pPr>
        <w:jc w:val="left"/>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br w:type="page"/>
      </w:r>
    </w:p>
    <w:p>
      <w:pPr>
        <w:jc w:val="center"/>
        <w:rPr>
          <w:rFonts w:ascii="仿宋" w:hAnsi="仿宋" w:eastAsia="仿宋" w:cs="仿宋"/>
          <w:color w:val="auto"/>
          <w:sz w:val="32"/>
          <w:szCs w:val="32"/>
          <w:highlight w:val="none"/>
        </w:rPr>
      </w:pPr>
      <w:r>
        <w:rPr>
          <w:rFonts w:hint="eastAsia" w:ascii="黑体" w:hAnsi="黑体" w:eastAsia="黑体" w:cs="黑体"/>
          <w:b/>
          <w:bCs/>
          <w:color w:val="auto"/>
          <w:sz w:val="32"/>
          <w:szCs w:val="32"/>
          <w:highlight w:val="none"/>
        </w:rPr>
        <w:t>第一部分：</w:t>
      </w:r>
      <w:r>
        <w:rPr>
          <w:rFonts w:ascii="黑体" w:hAnsi="黑体" w:eastAsia="黑体" w:cs="黑体"/>
          <w:b/>
          <w:color w:val="auto"/>
          <w:sz w:val="32"/>
          <w:u w:color="auto"/>
        </w:rPr>
        <w:t>河池市生态环境局</w:t>
      </w:r>
      <w:r>
        <w:rPr>
          <w:rFonts w:hint="eastAsia" w:ascii="黑体" w:hAnsi="黑体" w:eastAsia="黑体" w:cs="黑体"/>
          <w:b/>
          <w:bCs/>
          <w:color w:val="auto"/>
          <w:sz w:val="32"/>
          <w:szCs w:val="32"/>
          <w:highlight w:val="none"/>
        </w:rPr>
        <w:t>概况</w:t>
      </w:r>
    </w:p>
    <w:p>
      <w:pPr>
        <w:jc w:val="left"/>
        <w:rPr>
          <w:rFonts w:ascii="仿宋" w:hAnsi="仿宋" w:eastAsia="仿宋" w:cs="仿宋"/>
          <w:color w:val="auto"/>
          <w:sz w:val="32"/>
          <w:szCs w:val="32"/>
          <w:highlight w:val="none"/>
        </w:rPr>
      </w:pPr>
      <w:r>
        <w:rPr>
          <w:rFonts w:hint="eastAsia" w:ascii="黑体" w:hAnsi="黑体" w:eastAsia="黑体" w:cs="黑体"/>
          <w:color w:val="auto"/>
          <w:sz w:val="32"/>
          <w:szCs w:val="32"/>
          <w:highlight w:val="none"/>
        </w:rPr>
        <w:t>一、主要职能</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500" w:lineRule="exact"/>
        <w:ind w:right="0" w:firstLine="560" w:firstLineChars="200"/>
        <w:jc w:val="left"/>
        <w:textAlignment w:val="auto"/>
        <w:rPr>
          <w:rFonts w:hint="eastAsia" w:ascii="宋体" w:hAnsi="宋体" w:eastAsia="宋体" w:cs="宋体"/>
          <w:color w:val="auto"/>
          <w:sz w:val="28"/>
          <w:szCs w:val="28"/>
          <w:shd w:val="clear" w:color="auto" w:fill="auto"/>
        </w:rPr>
      </w:pPr>
      <w:r>
        <w:rPr>
          <w:rFonts w:hint="eastAsia" w:ascii="宋体" w:hAnsi="宋体" w:eastAsia="宋体" w:cs="宋体"/>
          <w:i w:val="0"/>
          <w:caps w:val="0"/>
          <w:color w:val="auto"/>
          <w:spacing w:val="0"/>
          <w:kern w:val="0"/>
          <w:sz w:val="28"/>
          <w:szCs w:val="28"/>
          <w:shd w:val="clear" w:color="auto" w:fill="auto"/>
          <w:lang w:val="en-US" w:eastAsia="zh-CN" w:bidi="ar"/>
        </w:rPr>
        <w:t>（一）贯彻执行国家、自治区环境保护法律法规、方针、政策和规章制度，组织实施环境保护地方性法规、规章和规范性文件以及环境保护政策和规划，组织编制环境功能区划，组织拟订重点区域、流域污染防治规划和饮用水水源地环境保护规划并监督实施，参与制订河池市主体功能区划。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500" w:lineRule="exact"/>
        <w:ind w:left="0" w:right="0" w:firstLine="640"/>
        <w:jc w:val="left"/>
        <w:textAlignment w:val="auto"/>
        <w:rPr>
          <w:rFonts w:hint="eastAsia" w:ascii="宋体" w:hAnsi="宋体" w:eastAsia="宋体" w:cs="宋体"/>
          <w:color w:val="auto"/>
          <w:sz w:val="28"/>
          <w:szCs w:val="28"/>
          <w:shd w:val="clear" w:color="auto" w:fill="auto"/>
        </w:rPr>
      </w:pPr>
      <w:r>
        <w:rPr>
          <w:rFonts w:hint="eastAsia" w:ascii="宋体" w:hAnsi="宋体" w:eastAsia="宋体" w:cs="宋体"/>
          <w:i w:val="0"/>
          <w:caps w:val="0"/>
          <w:color w:val="auto"/>
          <w:spacing w:val="0"/>
          <w:kern w:val="0"/>
          <w:sz w:val="28"/>
          <w:szCs w:val="28"/>
          <w:shd w:val="clear" w:color="auto" w:fill="auto"/>
          <w:lang w:val="en-US" w:eastAsia="zh-CN" w:bidi="ar"/>
        </w:rPr>
        <w:t>（二）负责全市重大环境问题的统筹协调和监督管理。牵头协调重大环境污染事故和生态破坏事件的调查处理，指导协调重特大突发环境事件的应急、预警工作，协调解决有关跨区域环境污染纠纷，统筹协调全市重点流域、区域污染防治工作。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500" w:lineRule="exact"/>
        <w:ind w:left="0" w:right="0" w:firstLine="640"/>
        <w:jc w:val="left"/>
        <w:textAlignment w:val="auto"/>
        <w:rPr>
          <w:rFonts w:hint="eastAsia" w:ascii="宋体" w:hAnsi="宋体" w:eastAsia="宋体" w:cs="宋体"/>
          <w:color w:val="auto"/>
          <w:sz w:val="28"/>
          <w:szCs w:val="28"/>
          <w:shd w:val="clear" w:color="auto" w:fill="auto"/>
        </w:rPr>
      </w:pPr>
      <w:r>
        <w:rPr>
          <w:rFonts w:hint="eastAsia" w:ascii="宋体" w:hAnsi="宋体" w:eastAsia="宋体" w:cs="宋体"/>
          <w:i w:val="0"/>
          <w:caps w:val="0"/>
          <w:color w:val="auto"/>
          <w:spacing w:val="0"/>
          <w:kern w:val="0"/>
          <w:sz w:val="28"/>
          <w:szCs w:val="28"/>
          <w:shd w:val="clear" w:color="auto" w:fill="auto"/>
          <w:lang w:val="en-US" w:eastAsia="zh-CN" w:bidi="ar"/>
        </w:rPr>
        <w:t>（三）负责协调和组织实施主要污染物减排工作。组织实施主要污染物排放总量控制和排污许可证制度，牵头实施环境保护目标责任制、主要污染物总量减排考核材料上报等。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500" w:lineRule="exact"/>
        <w:ind w:left="0" w:right="0" w:firstLine="640"/>
        <w:jc w:val="left"/>
        <w:textAlignment w:val="auto"/>
        <w:rPr>
          <w:rFonts w:hint="eastAsia" w:ascii="宋体" w:hAnsi="宋体" w:eastAsia="宋体" w:cs="宋体"/>
          <w:color w:val="auto"/>
          <w:sz w:val="28"/>
          <w:szCs w:val="28"/>
          <w:shd w:val="clear" w:color="auto" w:fill="auto"/>
        </w:rPr>
      </w:pPr>
      <w:r>
        <w:rPr>
          <w:rFonts w:hint="eastAsia" w:ascii="宋体" w:hAnsi="宋体" w:eastAsia="宋体" w:cs="宋体"/>
          <w:i w:val="0"/>
          <w:caps w:val="0"/>
          <w:color w:val="auto"/>
          <w:spacing w:val="0"/>
          <w:kern w:val="0"/>
          <w:sz w:val="28"/>
          <w:szCs w:val="28"/>
          <w:shd w:val="clear" w:color="auto" w:fill="auto"/>
          <w:lang w:val="en-US" w:eastAsia="zh-CN" w:bidi="ar"/>
        </w:rPr>
        <w:t>（四）负责提出全市环境保护领域固定资产投资规模和方向、财政性环保专项资金安排的建议，按照市人民政府规定权限，配合有关部门对环保领域计划规模内固定资产投资项目实施监督工作。指导并负责排污费的征收、使用和管理工作。参与指导和推动循环经济和环境保护产业发展，参与应对气候变化工作。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500" w:lineRule="exact"/>
        <w:ind w:left="0" w:right="0" w:firstLine="640"/>
        <w:jc w:val="left"/>
        <w:textAlignment w:val="auto"/>
        <w:rPr>
          <w:rFonts w:hint="eastAsia" w:ascii="宋体" w:hAnsi="宋体" w:eastAsia="宋体" w:cs="宋体"/>
          <w:color w:val="auto"/>
          <w:sz w:val="28"/>
          <w:szCs w:val="28"/>
          <w:shd w:val="clear" w:color="auto" w:fill="auto"/>
        </w:rPr>
      </w:pPr>
      <w:r>
        <w:rPr>
          <w:rFonts w:hint="eastAsia" w:ascii="宋体" w:hAnsi="宋体" w:eastAsia="宋体" w:cs="宋体"/>
          <w:i w:val="0"/>
          <w:caps w:val="0"/>
          <w:color w:val="auto"/>
          <w:spacing w:val="0"/>
          <w:kern w:val="0"/>
          <w:sz w:val="28"/>
          <w:szCs w:val="28"/>
          <w:shd w:val="clear" w:color="auto" w:fill="auto"/>
          <w:lang w:val="en-US" w:eastAsia="zh-CN" w:bidi="ar"/>
        </w:rPr>
        <w:t>（五）承担全市从源头上预防、控制环境污染和环境破坏的责任。受河池市人民政府委托对重大经济和技术政策、发展规划以及重大经济开发计划进行环境影响评价，对涉及环境保护的地方性法规、规章、规范性文件草案提出有关环境影响方面的意见，按规定权限组织审查重大发展建设区域环境影响评价文件和审批项目环境影响评价文件。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500" w:lineRule="exact"/>
        <w:ind w:left="0" w:right="0" w:firstLine="640"/>
        <w:jc w:val="left"/>
        <w:textAlignment w:val="auto"/>
        <w:rPr>
          <w:rFonts w:hint="eastAsia" w:ascii="宋体" w:hAnsi="宋体" w:eastAsia="宋体" w:cs="宋体"/>
          <w:color w:val="auto"/>
          <w:sz w:val="28"/>
          <w:szCs w:val="28"/>
          <w:shd w:val="clear" w:color="auto" w:fill="auto"/>
        </w:rPr>
      </w:pPr>
      <w:r>
        <w:rPr>
          <w:rFonts w:hint="eastAsia" w:ascii="宋体" w:hAnsi="宋体" w:eastAsia="宋体" w:cs="宋体"/>
          <w:i w:val="0"/>
          <w:caps w:val="0"/>
          <w:color w:val="auto"/>
          <w:spacing w:val="0"/>
          <w:kern w:val="0"/>
          <w:sz w:val="28"/>
          <w:szCs w:val="28"/>
          <w:shd w:val="clear" w:color="auto" w:fill="auto"/>
          <w:lang w:val="en-US" w:eastAsia="zh-CN" w:bidi="ar"/>
        </w:rPr>
        <w:t>（六）负责全市环境污染防治的监督管理。组织实施大气、水体、土壤、噪声、光、恶臭、固体废物、化学品、机动车的污染防治管理制度，会同有关部门监督管理饮用水水源地环境保护工作，组织指导城镇和农村的环境综合整治工作。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500" w:lineRule="exact"/>
        <w:ind w:left="0" w:right="0" w:firstLine="640"/>
        <w:jc w:val="left"/>
        <w:textAlignment w:val="auto"/>
        <w:rPr>
          <w:rFonts w:hint="eastAsia" w:ascii="宋体" w:hAnsi="宋体" w:eastAsia="宋体" w:cs="宋体"/>
          <w:color w:val="auto"/>
          <w:sz w:val="28"/>
          <w:szCs w:val="28"/>
          <w:shd w:val="clear" w:color="auto" w:fill="auto"/>
        </w:rPr>
      </w:pPr>
      <w:r>
        <w:rPr>
          <w:rFonts w:hint="eastAsia" w:ascii="宋体" w:hAnsi="宋体" w:eastAsia="宋体" w:cs="宋体"/>
          <w:i w:val="0"/>
          <w:caps w:val="0"/>
          <w:color w:val="auto"/>
          <w:spacing w:val="0"/>
          <w:kern w:val="0"/>
          <w:sz w:val="28"/>
          <w:szCs w:val="28"/>
          <w:shd w:val="clear" w:color="auto" w:fill="auto"/>
          <w:lang w:val="en-US" w:eastAsia="zh-CN" w:bidi="ar"/>
        </w:rPr>
        <w:t>（七）指导、协调、监督全市生态保护工作。拟订生态保护规划，组织评估生态环境质量状况，监督对生态环境有影响的自然资源开发利用活动、重要生态环境建设和生态破坏恢复工作，指导、协调、监督各种类型的自然保护区、风景名胜区、森林公园环境保护工作，协调和监督野生动植物保护、湿地环境保护、荒漠化防治工作，协调、指导农村生态环境保护、生态示范建设，协调和组织实施生态河池先进市建设工作。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500" w:lineRule="exact"/>
        <w:ind w:left="0" w:right="0" w:firstLine="640"/>
        <w:jc w:val="left"/>
        <w:textAlignment w:val="auto"/>
        <w:rPr>
          <w:rFonts w:hint="eastAsia" w:ascii="宋体" w:hAnsi="宋体" w:eastAsia="宋体" w:cs="宋体"/>
          <w:color w:val="auto"/>
          <w:sz w:val="28"/>
          <w:szCs w:val="28"/>
          <w:shd w:val="clear" w:color="auto" w:fill="auto"/>
        </w:rPr>
      </w:pPr>
      <w:r>
        <w:rPr>
          <w:rFonts w:hint="eastAsia" w:ascii="宋体" w:hAnsi="宋体" w:eastAsia="宋体" w:cs="宋体"/>
          <w:i w:val="0"/>
          <w:caps w:val="0"/>
          <w:color w:val="auto"/>
          <w:spacing w:val="0"/>
          <w:kern w:val="0"/>
          <w:sz w:val="28"/>
          <w:szCs w:val="28"/>
          <w:shd w:val="clear" w:color="auto" w:fill="auto"/>
          <w:lang w:val="en-US" w:eastAsia="zh-CN" w:bidi="ar"/>
        </w:rPr>
        <w:t>（八）协助上级环保部门监督管理核设施安全、放射源安全，参与核事故、辐射环境事故的应急处理，参与反生物、反化学、反核与辐射恐怖袭击工作。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500" w:lineRule="exact"/>
        <w:ind w:left="0" w:right="0" w:firstLine="640"/>
        <w:jc w:val="left"/>
        <w:textAlignment w:val="auto"/>
        <w:rPr>
          <w:rFonts w:hint="eastAsia" w:ascii="宋体" w:hAnsi="宋体" w:eastAsia="宋体" w:cs="宋体"/>
          <w:color w:val="auto"/>
          <w:sz w:val="28"/>
          <w:szCs w:val="28"/>
          <w:shd w:val="clear" w:color="auto" w:fill="auto"/>
        </w:rPr>
      </w:pPr>
      <w:r>
        <w:rPr>
          <w:rFonts w:hint="eastAsia" w:ascii="宋体" w:hAnsi="宋体" w:eastAsia="宋体" w:cs="宋体"/>
          <w:i w:val="0"/>
          <w:caps w:val="0"/>
          <w:color w:val="auto"/>
          <w:spacing w:val="0"/>
          <w:kern w:val="0"/>
          <w:sz w:val="28"/>
          <w:szCs w:val="28"/>
          <w:shd w:val="clear" w:color="auto" w:fill="auto"/>
          <w:lang w:val="en-US" w:eastAsia="zh-CN" w:bidi="ar"/>
        </w:rPr>
        <w:t>（九）负责全市环境监测、统计和信息发布工作。组织实施环境监测制度和规范，组织实施环境质量监测和污染源监督性监测，组织对环境质量状况进行调查评估、预测预警，组织建设和管理环境监测网和环境信息网，组织编制河池市环境质量报告书。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500" w:lineRule="exact"/>
        <w:ind w:left="0" w:right="0" w:firstLine="640"/>
        <w:jc w:val="left"/>
        <w:textAlignment w:val="auto"/>
        <w:rPr>
          <w:rFonts w:hint="eastAsia" w:ascii="宋体" w:hAnsi="宋体" w:eastAsia="宋体" w:cs="宋体"/>
          <w:color w:val="auto"/>
          <w:sz w:val="28"/>
          <w:szCs w:val="28"/>
          <w:shd w:val="clear" w:color="auto" w:fill="auto"/>
        </w:rPr>
      </w:pPr>
      <w:r>
        <w:rPr>
          <w:rFonts w:hint="eastAsia" w:ascii="宋体" w:hAnsi="宋体" w:eastAsia="宋体" w:cs="宋体"/>
          <w:i w:val="0"/>
          <w:caps w:val="0"/>
          <w:color w:val="auto"/>
          <w:spacing w:val="0"/>
          <w:kern w:val="0"/>
          <w:sz w:val="28"/>
          <w:szCs w:val="28"/>
          <w:shd w:val="clear" w:color="auto" w:fill="auto"/>
          <w:lang w:val="en-US" w:eastAsia="zh-CN" w:bidi="ar"/>
        </w:rPr>
        <w:t>（十）开展全市环境保护科技工作。组织开展环境保护科学研究和技术工程示范，推动环境技术管理体系建设，受理上市企业环保核查申请，推动循环经济建设，协助相关部门做好企业清洁生产核查工作。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500" w:lineRule="exact"/>
        <w:ind w:left="0" w:right="0" w:firstLine="640"/>
        <w:jc w:val="left"/>
        <w:textAlignment w:val="auto"/>
        <w:rPr>
          <w:rFonts w:hint="eastAsia" w:ascii="宋体" w:hAnsi="宋体" w:eastAsia="宋体" w:cs="宋体"/>
          <w:color w:val="auto"/>
          <w:sz w:val="28"/>
          <w:szCs w:val="28"/>
          <w:shd w:val="clear" w:color="auto" w:fill="auto"/>
        </w:rPr>
      </w:pPr>
      <w:r>
        <w:rPr>
          <w:rFonts w:hint="eastAsia" w:ascii="宋体" w:hAnsi="宋体" w:eastAsia="宋体" w:cs="宋体"/>
          <w:i w:val="0"/>
          <w:caps w:val="0"/>
          <w:color w:val="auto"/>
          <w:spacing w:val="0"/>
          <w:kern w:val="0"/>
          <w:sz w:val="28"/>
          <w:szCs w:val="28"/>
          <w:shd w:val="clear" w:color="auto" w:fill="auto"/>
          <w:lang w:val="en-US" w:eastAsia="zh-CN" w:bidi="ar"/>
        </w:rPr>
        <w:t>（十一）协助上级环境保护部门开展环境保护方面的国际合作与交流；参与协调辖区内重要环境保护国际活动；受自治区环保厅和市人民政府委托处理涉外环境保护事务。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500" w:lineRule="exact"/>
        <w:ind w:left="0" w:right="0" w:firstLine="640"/>
        <w:jc w:val="left"/>
        <w:textAlignment w:val="auto"/>
        <w:rPr>
          <w:rFonts w:hint="eastAsia" w:ascii="宋体" w:hAnsi="宋体" w:eastAsia="宋体" w:cs="宋体"/>
          <w:color w:val="auto"/>
          <w:sz w:val="28"/>
          <w:szCs w:val="28"/>
          <w:shd w:val="clear" w:color="auto" w:fill="auto"/>
        </w:rPr>
      </w:pPr>
      <w:r>
        <w:rPr>
          <w:rFonts w:hint="eastAsia" w:ascii="宋体" w:hAnsi="宋体" w:eastAsia="宋体" w:cs="宋体"/>
          <w:i w:val="0"/>
          <w:caps w:val="0"/>
          <w:color w:val="auto"/>
          <w:spacing w:val="0"/>
          <w:kern w:val="0"/>
          <w:sz w:val="28"/>
          <w:szCs w:val="28"/>
          <w:shd w:val="clear" w:color="auto" w:fill="auto"/>
          <w:lang w:val="en-US" w:eastAsia="zh-CN" w:bidi="ar"/>
        </w:rPr>
        <w:t>（十二）组织、指导和协调全市环境保护宣传教育工作，制定全市环境保护宣传教育纲要并组织实施，开展生态文明建设和环境友好型社会建设的有关宣传教育工作，推动社会公众和社会组织参与环境保护。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500" w:lineRule="exact"/>
        <w:ind w:left="0" w:right="0" w:firstLine="640"/>
        <w:jc w:val="left"/>
        <w:textAlignment w:val="auto"/>
        <w:rPr>
          <w:rFonts w:hint="eastAsia" w:ascii="宋体" w:hAnsi="宋体" w:eastAsia="宋体" w:cs="宋体"/>
          <w:color w:val="auto"/>
          <w:sz w:val="28"/>
          <w:szCs w:val="28"/>
          <w:shd w:val="clear" w:color="auto" w:fill="auto"/>
        </w:rPr>
      </w:pPr>
      <w:r>
        <w:rPr>
          <w:rFonts w:hint="eastAsia" w:ascii="宋体" w:hAnsi="宋体" w:eastAsia="宋体" w:cs="宋体"/>
          <w:i w:val="0"/>
          <w:caps w:val="0"/>
          <w:color w:val="auto"/>
          <w:spacing w:val="0"/>
          <w:kern w:val="0"/>
          <w:sz w:val="28"/>
          <w:szCs w:val="28"/>
          <w:shd w:val="clear" w:color="auto" w:fill="auto"/>
          <w:lang w:val="en-US" w:eastAsia="zh-CN" w:bidi="ar"/>
        </w:rPr>
        <w:t>（十三）承办河池市人民政府、自治区环保厅交办的其他事项。 </w:t>
      </w:r>
    </w:p>
    <w:p>
      <w:pPr>
        <w:jc w:val="left"/>
        <w:rPr>
          <w:rFonts w:ascii="仿宋" w:hAnsi="仿宋" w:eastAsia="仿宋" w:cs="仿宋"/>
          <w:color w:val="auto"/>
          <w:sz w:val="32"/>
          <w:szCs w:val="32"/>
          <w:highlight w:val="none"/>
        </w:rPr>
      </w:pPr>
      <w:r>
        <w:rPr>
          <w:rFonts w:hint="eastAsia" w:ascii="黑体" w:hAnsi="黑体" w:eastAsia="黑体" w:cs="黑体"/>
          <w:color w:val="auto"/>
          <w:sz w:val="32"/>
          <w:szCs w:val="32"/>
          <w:highlight w:val="none"/>
        </w:rPr>
        <w:t>二、部门决算单位构成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0" w:lineRule="atLeast"/>
        <w:ind w:left="0" w:right="0" w:firstLine="640"/>
        <w:jc w:val="left"/>
        <w:rPr>
          <w:rFonts w:hint="eastAsia" w:ascii="宋体" w:hAnsi="宋体" w:eastAsia="宋体" w:cs="宋体"/>
          <w:color w:val="auto"/>
          <w:sz w:val="28"/>
          <w:szCs w:val="28"/>
          <w:shd w:val="clear" w:color="auto" w:fill="auto"/>
        </w:rPr>
      </w:pPr>
      <w:r>
        <w:rPr>
          <w:rFonts w:hint="eastAsia" w:ascii="宋体" w:hAnsi="宋体" w:eastAsia="宋体" w:cs="宋体"/>
          <w:i w:val="0"/>
          <w:caps w:val="0"/>
          <w:color w:val="auto"/>
          <w:spacing w:val="0"/>
          <w:kern w:val="0"/>
          <w:sz w:val="28"/>
          <w:szCs w:val="28"/>
          <w:shd w:val="clear" w:color="auto" w:fill="auto"/>
          <w:lang w:val="en-US" w:eastAsia="zh-CN" w:bidi="ar"/>
        </w:rPr>
        <w:t>河池市生态环境局内设科室9个，设直属单位2个，派出机构12个。列入2022年部门决算编制范围的单位详细情况见下表: </w:t>
      </w:r>
    </w:p>
    <w:tbl>
      <w:tblPr>
        <w:tblStyle w:val="6"/>
        <w:tblW w:w="7948"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
      <w:tblGrid>
        <w:gridCol w:w="4251"/>
        <w:gridCol w:w="1245"/>
        <w:gridCol w:w="1230"/>
        <w:gridCol w:w="1222"/>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4251" w:type="dxa"/>
            <w:tcBorders>
              <w:top w:val="single" w:color="auto" w:sz="8" w:space="0"/>
              <w:left w:val="single" w:color="auto" w:sz="8" w:space="0"/>
              <w:bottom w:val="single" w:color="auto" w:sz="8" w:space="0"/>
              <w:right w:val="single" w:color="auto" w:sz="8" w:space="0"/>
            </w:tcBorders>
            <w:shd w:val="clear" w:color="auto" w:fill="FFFFFF"/>
            <w:tcMar>
              <w:top w:w="0" w:type="dxa"/>
              <w:left w:w="0" w:type="dxa"/>
              <w:bottom w:w="0" w:type="dxa"/>
              <w:right w:w="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400" w:lineRule="exact"/>
              <w:ind w:left="0" w:right="0" w:firstLine="640"/>
              <w:jc w:val="left"/>
              <w:textAlignment w:val="auto"/>
              <w:rPr>
                <w:rFonts w:hint="eastAsia" w:ascii="宋体" w:hAnsi="宋体" w:eastAsia="宋体" w:cs="宋体"/>
                <w:color w:val="auto"/>
                <w:sz w:val="24"/>
                <w:szCs w:val="24"/>
                <w:shd w:val="clear" w:color="auto" w:fill="auto"/>
              </w:rPr>
            </w:pPr>
            <w:r>
              <w:rPr>
                <w:rFonts w:hint="eastAsia" w:ascii="宋体" w:hAnsi="宋体" w:eastAsia="宋体" w:cs="宋体"/>
                <w:color w:val="auto"/>
                <w:kern w:val="0"/>
                <w:sz w:val="24"/>
                <w:szCs w:val="24"/>
                <w:shd w:val="clear" w:color="auto" w:fill="auto"/>
                <w:lang w:val="en-US" w:eastAsia="zh-CN" w:bidi="ar"/>
              </w:rPr>
              <w:t>单位名称 </w:t>
            </w:r>
          </w:p>
        </w:tc>
        <w:tc>
          <w:tcPr>
            <w:tcW w:w="1245" w:type="dxa"/>
            <w:tcBorders>
              <w:top w:val="single" w:color="auto" w:sz="8" w:space="0"/>
              <w:left w:val="single" w:color="auto" w:sz="8" w:space="0"/>
              <w:bottom w:val="single" w:color="auto" w:sz="8" w:space="0"/>
              <w:right w:val="single" w:color="auto" w:sz="8" w:space="0"/>
            </w:tcBorders>
            <w:shd w:val="clear" w:color="auto" w:fill="FFFFFF"/>
            <w:tcMar>
              <w:top w:w="0" w:type="dxa"/>
              <w:left w:w="0" w:type="dxa"/>
              <w:bottom w:w="0" w:type="dxa"/>
              <w:right w:w="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400" w:lineRule="exact"/>
              <w:ind w:left="0" w:right="0"/>
              <w:jc w:val="left"/>
              <w:textAlignment w:val="auto"/>
              <w:rPr>
                <w:rFonts w:hint="eastAsia" w:ascii="宋体" w:hAnsi="宋体" w:eastAsia="宋体" w:cs="宋体"/>
                <w:color w:val="auto"/>
                <w:sz w:val="24"/>
                <w:szCs w:val="24"/>
                <w:shd w:val="clear" w:color="auto" w:fill="auto"/>
              </w:rPr>
            </w:pPr>
            <w:r>
              <w:rPr>
                <w:rFonts w:hint="eastAsia" w:ascii="宋体" w:hAnsi="宋体" w:eastAsia="宋体" w:cs="宋体"/>
                <w:color w:val="auto"/>
                <w:kern w:val="0"/>
                <w:sz w:val="24"/>
                <w:szCs w:val="24"/>
                <w:shd w:val="clear" w:color="auto" w:fill="auto"/>
                <w:lang w:val="en-US" w:eastAsia="zh-CN" w:bidi="ar"/>
              </w:rPr>
              <w:t>经费性质 </w:t>
            </w:r>
          </w:p>
        </w:tc>
        <w:tc>
          <w:tcPr>
            <w:tcW w:w="1230" w:type="dxa"/>
            <w:tcBorders>
              <w:top w:val="single" w:color="auto" w:sz="8" w:space="0"/>
              <w:left w:val="single" w:color="auto" w:sz="8" w:space="0"/>
              <w:bottom w:val="single" w:color="auto" w:sz="8" w:space="0"/>
              <w:right w:val="single" w:color="auto" w:sz="8" w:space="0"/>
            </w:tcBorders>
            <w:shd w:val="clear" w:color="auto" w:fill="FFFFFF"/>
            <w:tcMar>
              <w:top w:w="0" w:type="dxa"/>
              <w:left w:w="0" w:type="dxa"/>
              <w:bottom w:w="0" w:type="dxa"/>
              <w:right w:w="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400" w:lineRule="exact"/>
              <w:ind w:left="0" w:right="0"/>
              <w:jc w:val="left"/>
              <w:textAlignment w:val="auto"/>
              <w:rPr>
                <w:rFonts w:hint="eastAsia" w:ascii="宋体" w:hAnsi="宋体" w:eastAsia="宋体" w:cs="宋体"/>
                <w:color w:val="auto"/>
                <w:sz w:val="24"/>
                <w:szCs w:val="24"/>
                <w:shd w:val="clear" w:color="auto" w:fill="auto"/>
              </w:rPr>
            </w:pPr>
            <w:r>
              <w:rPr>
                <w:rFonts w:hint="eastAsia" w:ascii="宋体" w:hAnsi="宋体" w:eastAsia="宋体" w:cs="宋体"/>
                <w:color w:val="auto"/>
                <w:kern w:val="0"/>
                <w:sz w:val="24"/>
                <w:szCs w:val="24"/>
                <w:shd w:val="clear" w:color="auto" w:fill="auto"/>
                <w:lang w:val="en-US" w:eastAsia="zh-CN" w:bidi="ar"/>
              </w:rPr>
              <w:t>人员编制数 </w:t>
            </w:r>
          </w:p>
        </w:tc>
        <w:tc>
          <w:tcPr>
            <w:tcW w:w="1222" w:type="dxa"/>
            <w:tcBorders>
              <w:top w:val="single" w:color="auto" w:sz="8" w:space="0"/>
              <w:left w:val="single" w:color="auto" w:sz="8" w:space="0"/>
              <w:bottom w:val="single" w:color="auto" w:sz="8" w:space="0"/>
              <w:right w:val="single" w:color="auto" w:sz="8" w:space="0"/>
            </w:tcBorders>
            <w:shd w:val="clear" w:color="auto" w:fill="FFFFFF"/>
            <w:tcMar>
              <w:top w:w="0" w:type="dxa"/>
              <w:left w:w="0" w:type="dxa"/>
              <w:bottom w:w="0" w:type="dxa"/>
              <w:right w:w="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400" w:lineRule="exact"/>
              <w:ind w:left="0" w:right="0"/>
              <w:jc w:val="left"/>
              <w:textAlignment w:val="auto"/>
              <w:rPr>
                <w:rFonts w:hint="eastAsia" w:ascii="宋体" w:hAnsi="宋体" w:eastAsia="宋体" w:cs="宋体"/>
                <w:color w:val="auto"/>
                <w:sz w:val="24"/>
                <w:szCs w:val="24"/>
                <w:shd w:val="clear" w:color="auto" w:fill="auto"/>
              </w:rPr>
            </w:pPr>
            <w:r>
              <w:rPr>
                <w:rFonts w:hint="eastAsia" w:ascii="宋体" w:hAnsi="宋体" w:eastAsia="宋体" w:cs="宋体"/>
                <w:color w:val="auto"/>
                <w:kern w:val="0"/>
                <w:sz w:val="24"/>
                <w:szCs w:val="24"/>
                <w:shd w:val="clear" w:color="auto" w:fill="auto"/>
                <w:lang w:val="en-US" w:eastAsia="zh-CN" w:bidi="ar"/>
              </w:rPr>
              <w:t>在职人数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c>
          <w:tcPr>
            <w:tcW w:w="4251" w:type="dxa"/>
            <w:tcBorders>
              <w:top w:val="single" w:color="auto" w:sz="8" w:space="0"/>
              <w:left w:val="single" w:color="auto" w:sz="8" w:space="0"/>
              <w:bottom w:val="single" w:color="auto" w:sz="8" w:space="0"/>
              <w:right w:val="single" w:color="auto" w:sz="8" w:space="0"/>
            </w:tcBorders>
            <w:shd w:val="clear" w:color="auto" w:fill="FFFFFF"/>
            <w:tcMar>
              <w:top w:w="0" w:type="dxa"/>
              <w:left w:w="0" w:type="dxa"/>
              <w:bottom w:w="0" w:type="dxa"/>
              <w:right w:w="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400" w:lineRule="exact"/>
              <w:ind w:left="0" w:right="0" w:firstLine="640"/>
              <w:jc w:val="left"/>
              <w:textAlignment w:val="auto"/>
              <w:rPr>
                <w:rFonts w:hint="eastAsia" w:ascii="宋体" w:hAnsi="宋体" w:eastAsia="宋体" w:cs="宋体"/>
                <w:color w:val="auto"/>
                <w:sz w:val="24"/>
                <w:szCs w:val="24"/>
                <w:shd w:val="clear" w:color="auto" w:fill="auto"/>
              </w:rPr>
            </w:pPr>
            <w:r>
              <w:rPr>
                <w:rFonts w:hint="eastAsia" w:ascii="宋体" w:hAnsi="宋体" w:eastAsia="宋体" w:cs="宋体"/>
                <w:color w:val="auto"/>
                <w:kern w:val="0"/>
                <w:sz w:val="24"/>
                <w:szCs w:val="24"/>
                <w:shd w:val="clear" w:color="auto" w:fill="auto"/>
                <w:lang w:val="en-US" w:eastAsia="zh-CN" w:bidi="ar"/>
              </w:rPr>
              <w:t>河池市生态环境局 </w:t>
            </w:r>
          </w:p>
        </w:tc>
        <w:tc>
          <w:tcPr>
            <w:tcW w:w="1245" w:type="dxa"/>
            <w:tcBorders>
              <w:top w:val="single" w:color="auto" w:sz="8" w:space="0"/>
              <w:left w:val="single" w:color="auto" w:sz="8" w:space="0"/>
              <w:bottom w:val="single" w:color="auto" w:sz="8" w:space="0"/>
              <w:right w:val="single" w:color="auto" w:sz="8" w:space="0"/>
            </w:tcBorders>
            <w:shd w:val="clear" w:color="auto" w:fill="FFFFFF"/>
            <w:tcMar>
              <w:top w:w="0" w:type="dxa"/>
              <w:left w:w="0" w:type="dxa"/>
              <w:bottom w:w="0" w:type="dxa"/>
              <w:right w:w="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400" w:lineRule="exact"/>
              <w:ind w:left="0" w:right="0"/>
              <w:jc w:val="left"/>
              <w:textAlignment w:val="auto"/>
              <w:rPr>
                <w:rFonts w:hint="eastAsia" w:ascii="宋体" w:hAnsi="宋体" w:eastAsia="宋体" w:cs="宋体"/>
                <w:color w:val="auto"/>
                <w:sz w:val="24"/>
                <w:szCs w:val="24"/>
                <w:shd w:val="clear" w:color="auto" w:fill="auto"/>
              </w:rPr>
            </w:pPr>
            <w:r>
              <w:rPr>
                <w:rFonts w:hint="eastAsia" w:ascii="宋体" w:hAnsi="宋体" w:eastAsia="宋体" w:cs="宋体"/>
                <w:color w:val="auto"/>
                <w:kern w:val="0"/>
                <w:sz w:val="24"/>
                <w:szCs w:val="24"/>
                <w:shd w:val="clear" w:color="auto" w:fill="auto"/>
                <w:lang w:val="en-US" w:eastAsia="zh-CN" w:bidi="ar"/>
              </w:rPr>
              <w:t>全额拨款 </w:t>
            </w:r>
          </w:p>
        </w:tc>
        <w:tc>
          <w:tcPr>
            <w:tcW w:w="1230" w:type="dxa"/>
            <w:tcBorders>
              <w:top w:val="single" w:color="auto" w:sz="8" w:space="0"/>
              <w:left w:val="single" w:color="auto" w:sz="8" w:space="0"/>
              <w:bottom w:val="single" w:color="auto" w:sz="8" w:space="0"/>
              <w:right w:val="single" w:color="auto" w:sz="8" w:space="0"/>
            </w:tcBorders>
            <w:shd w:val="clear" w:color="auto" w:fill="FFFFFF"/>
            <w:tcMar>
              <w:top w:w="0" w:type="dxa"/>
              <w:left w:w="0" w:type="dxa"/>
              <w:bottom w:w="0" w:type="dxa"/>
              <w:right w:w="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400" w:lineRule="exact"/>
              <w:ind w:left="0" w:right="0" w:firstLine="640"/>
              <w:jc w:val="left"/>
              <w:textAlignment w:val="auto"/>
              <w:rPr>
                <w:rFonts w:hint="eastAsia" w:ascii="宋体" w:hAnsi="宋体" w:eastAsia="宋体" w:cs="宋体"/>
                <w:color w:val="auto"/>
                <w:sz w:val="24"/>
                <w:szCs w:val="24"/>
                <w:shd w:val="clear" w:color="auto" w:fill="auto"/>
              </w:rPr>
            </w:pPr>
            <w:r>
              <w:rPr>
                <w:rFonts w:hint="eastAsia" w:ascii="宋体" w:hAnsi="宋体" w:eastAsia="宋体" w:cs="宋体"/>
                <w:color w:val="auto"/>
                <w:kern w:val="0"/>
                <w:sz w:val="24"/>
                <w:szCs w:val="24"/>
                <w:shd w:val="clear" w:color="auto" w:fill="auto"/>
                <w:lang w:val="en-US" w:eastAsia="zh-CN" w:bidi="ar"/>
              </w:rPr>
              <w:t>20 </w:t>
            </w:r>
          </w:p>
        </w:tc>
        <w:tc>
          <w:tcPr>
            <w:tcW w:w="1222" w:type="dxa"/>
            <w:tcBorders>
              <w:top w:val="single" w:color="auto" w:sz="8" w:space="0"/>
              <w:left w:val="single" w:color="auto" w:sz="8" w:space="0"/>
              <w:bottom w:val="single" w:color="auto" w:sz="8" w:space="0"/>
              <w:right w:val="single" w:color="auto" w:sz="8" w:space="0"/>
            </w:tcBorders>
            <w:shd w:val="clear" w:color="auto" w:fill="FFFFFF"/>
            <w:tcMar>
              <w:top w:w="0" w:type="dxa"/>
              <w:left w:w="0" w:type="dxa"/>
              <w:bottom w:w="0" w:type="dxa"/>
              <w:right w:w="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400" w:lineRule="exact"/>
              <w:ind w:left="0" w:right="0" w:firstLine="640"/>
              <w:jc w:val="left"/>
              <w:textAlignment w:val="auto"/>
              <w:rPr>
                <w:rFonts w:hint="eastAsia" w:ascii="宋体" w:hAnsi="宋体" w:eastAsia="宋体" w:cs="宋体"/>
                <w:color w:val="auto"/>
                <w:sz w:val="24"/>
                <w:szCs w:val="24"/>
                <w:shd w:val="clear" w:color="auto" w:fill="auto"/>
              </w:rPr>
            </w:pPr>
            <w:r>
              <w:rPr>
                <w:rFonts w:hint="eastAsia" w:ascii="宋体" w:hAnsi="宋体" w:eastAsia="宋体" w:cs="宋体"/>
                <w:color w:val="auto"/>
                <w:kern w:val="0"/>
                <w:sz w:val="24"/>
                <w:szCs w:val="24"/>
                <w:shd w:val="clear" w:color="auto" w:fill="auto"/>
                <w:lang w:val="en-US" w:eastAsia="zh-CN" w:bidi="ar"/>
              </w:rPr>
              <w:t>19</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c>
          <w:tcPr>
            <w:tcW w:w="4251" w:type="dxa"/>
            <w:tcBorders>
              <w:top w:val="single" w:color="auto" w:sz="8" w:space="0"/>
              <w:left w:val="single" w:color="auto" w:sz="8" w:space="0"/>
              <w:bottom w:val="single" w:color="auto" w:sz="8" w:space="0"/>
              <w:right w:val="single" w:color="auto" w:sz="8" w:space="0"/>
            </w:tcBorders>
            <w:shd w:val="clear" w:color="auto" w:fill="FFFFFF"/>
            <w:tcMar>
              <w:top w:w="0" w:type="dxa"/>
              <w:left w:w="0" w:type="dxa"/>
              <w:bottom w:w="0" w:type="dxa"/>
              <w:right w:w="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400" w:lineRule="exact"/>
              <w:ind w:left="0" w:right="0" w:firstLine="640"/>
              <w:jc w:val="left"/>
              <w:textAlignment w:val="auto"/>
              <w:rPr>
                <w:rFonts w:hint="eastAsia" w:ascii="宋体" w:hAnsi="宋体" w:eastAsia="宋体" w:cs="宋体"/>
                <w:color w:val="auto"/>
                <w:sz w:val="24"/>
                <w:szCs w:val="24"/>
                <w:shd w:val="clear" w:color="auto" w:fill="auto"/>
              </w:rPr>
            </w:pPr>
            <w:r>
              <w:rPr>
                <w:rFonts w:hint="eastAsia" w:ascii="宋体" w:hAnsi="宋体" w:eastAsia="宋体" w:cs="宋体"/>
                <w:color w:val="auto"/>
                <w:kern w:val="0"/>
                <w:sz w:val="24"/>
                <w:szCs w:val="24"/>
                <w:shd w:val="clear" w:color="auto" w:fill="auto"/>
                <w:lang w:val="en-US" w:eastAsia="zh-CN" w:bidi="ar"/>
              </w:rPr>
              <w:t>河池市环境监察支队 </w:t>
            </w:r>
          </w:p>
        </w:tc>
        <w:tc>
          <w:tcPr>
            <w:tcW w:w="1245" w:type="dxa"/>
            <w:tcBorders>
              <w:top w:val="single" w:color="auto" w:sz="8" w:space="0"/>
              <w:left w:val="single" w:color="auto" w:sz="8" w:space="0"/>
              <w:bottom w:val="single" w:color="auto" w:sz="8" w:space="0"/>
              <w:right w:val="single" w:color="auto" w:sz="8" w:space="0"/>
            </w:tcBorders>
            <w:shd w:val="clear" w:color="auto" w:fill="FFFFFF"/>
            <w:tcMar>
              <w:top w:w="0" w:type="dxa"/>
              <w:left w:w="0" w:type="dxa"/>
              <w:bottom w:w="0" w:type="dxa"/>
              <w:right w:w="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400" w:lineRule="exact"/>
              <w:ind w:left="0" w:right="0"/>
              <w:jc w:val="left"/>
              <w:textAlignment w:val="auto"/>
              <w:rPr>
                <w:rFonts w:hint="eastAsia" w:ascii="宋体" w:hAnsi="宋体" w:eastAsia="宋体" w:cs="宋体"/>
                <w:color w:val="auto"/>
                <w:sz w:val="24"/>
                <w:szCs w:val="24"/>
                <w:shd w:val="clear" w:color="auto" w:fill="auto"/>
              </w:rPr>
            </w:pPr>
            <w:r>
              <w:rPr>
                <w:rFonts w:hint="eastAsia" w:ascii="宋体" w:hAnsi="宋体" w:eastAsia="宋体" w:cs="宋体"/>
                <w:color w:val="auto"/>
                <w:kern w:val="0"/>
                <w:sz w:val="24"/>
                <w:szCs w:val="24"/>
                <w:shd w:val="clear" w:color="auto" w:fill="auto"/>
                <w:lang w:val="en-US" w:eastAsia="zh-CN" w:bidi="ar"/>
              </w:rPr>
              <w:t>全额拨款 </w:t>
            </w:r>
          </w:p>
        </w:tc>
        <w:tc>
          <w:tcPr>
            <w:tcW w:w="1230" w:type="dxa"/>
            <w:tcBorders>
              <w:top w:val="single" w:color="auto" w:sz="8" w:space="0"/>
              <w:left w:val="single" w:color="auto" w:sz="8" w:space="0"/>
              <w:bottom w:val="single" w:color="auto" w:sz="8" w:space="0"/>
              <w:right w:val="single" w:color="auto" w:sz="8" w:space="0"/>
            </w:tcBorders>
            <w:shd w:val="clear" w:color="auto" w:fill="FFFFFF"/>
            <w:tcMar>
              <w:top w:w="0" w:type="dxa"/>
              <w:left w:w="0" w:type="dxa"/>
              <w:bottom w:w="0" w:type="dxa"/>
              <w:right w:w="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400" w:lineRule="exact"/>
              <w:ind w:left="0" w:right="0" w:firstLine="640"/>
              <w:jc w:val="left"/>
              <w:textAlignment w:val="auto"/>
              <w:rPr>
                <w:rFonts w:hint="eastAsia" w:ascii="宋体" w:hAnsi="宋体" w:eastAsia="宋体" w:cs="宋体"/>
                <w:color w:val="auto"/>
                <w:sz w:val="24"/>
                <w:szCs w:val="24"/>
                <w:shd w:val="clear" w:color="auto" w:fill="auto"/>
              </w:rPr>
            </w:pPr>
            <w:r>
              <w:rPr>
                <w:rFonts w:hint="eastAsia" w:ascii="宋体" w:hAnsi="宋体" w:eastAsia="宋体" w:cs="宋体"/>
                <w:color w:val="auto"/>
                <w:kern w:val="0"/>
                <w:sz w:val="24"/>
                <w:szCs w:val="24"/>
                <w:shd w:val="clear" w:color="auto" w:fill="auto"/>
                <w:lang w:val="en-US" w:eastAsia="zh-CN" w:bidi="ar"/>
              </w:rPr>
              <w:t>59 </w:t>
            </w:r>
          </w:p>
        </w:tc>
        <w:tc>
          <w:tcPr>
            <w:tcW w:w="1222" w:type="dxa"/>
            <w:tcBorders>
              <w:top w:val="single" w:color="auto" w:sz="8" w:space="0"/>
              <w:left w:val="single" w:color="auto" w:sz="8" w:space="0"/>
              <w:bottom w:val="single" w:color="auto" w:sz="8" w:space="0"/>
              <w:right w:val="single" w:color="auto" w:sz="8" w:space="0"/>
            </w:tcBorders>
            <w:shd w:val="clear" w:color="auto" w:fill="FFFFFF"/>
            <w:tcMar>
              <w:top w:w="0" w:type="dxa"/>
              <w:left w:w="0" w:type="dxa"/>
              <w:bottom w:w="0" w:type="dxa"/>
              <w:right w:w="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400" w:lineRule="exact"/>
              <w:ind w:left="0" w:right="0" w:firstLine="640"/>
              <w:jc w:val="left"/>
              <w:textAlignment w:val="auto"/>
              <w:rPr>
                <w:rFonts w:hint="eastAsia" w:ascii="宋体" w:hAnsi="宋体" w:eastAsia="宋体" w:cs="宋体"/>
                <w:color w:val="auto"/>
                <w:sz w:val="24"/>
                <w:szCs w:val="24"/>
                <w:shd w:val="clear" w:color="auto" w:fill="auto"/>
              </w:rPr>
            </w:pPr>
            <w:r>
              <w:rPr>
                <w:rFonts w:hint="eastAsia" w:ascii="宋体" w:hAnsi="宋体" w:eastAsia="宋体" w:cs="宋体"/>
                <w:color w:val="auto"/>
                <w:kern w:val="0"/>
                <w:sz w:val="24"/>
                <w:szCs w:val="24"/>
                <w:shd w:val="clear" w:color="auto" w:fill="auto"/>
                <w:lang w:val="en-US" w:eastAsia="zh-CN" w:bidi="ar"/>
              </w:rPr>
              <w:t>49 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c>
          <w:tcPr>
            <w:tcW w:w="4251" w:type="dxa"/>
            <w:tcBorders>
              <w:top w:val="single" w:color="auto" w:sz="8" w:space="0"/>
              <w:left w:val="single" w:color="auto" w:sz="8" w:space="0"/>
              <w:bottom w:val="single" w:color="auto" w:sz="8" w:space="0"/>
              <w:right w:val="single" w:color="auto" w:sz="8" w:space="0"/>
            </w:tcBorders>
            <w:shd w:val="clear" w:color="auto" w:fill="FFFFFF"/>
            <w:tcMar>
              <w:top w:w="0" w:type="dxa"/>
              <w:left w:w="0" w:type="dxa"/>
              <w:bottom w:w="0" w:type="dxa"/>
              <w:right w:w="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400" w:lineRule="exact"/>
              <w:ind w:left="0" w:right="0"/>
              <w:jc w:val="left"/>
              <w:textAlignment w:val="auto"/>
              <w:rPr>
                <w:rFonts w:hint="eastAsia" w:ascii="宋体" w:hAnsi="宋体" w:eastAsia="宋体" w:cs="宋体"/>
                <w:color w:val="auto"/>
                <w:sz w:val="24"/>
                <w:szCs w:val="24"/>
                <w:shd w:val="clear" w:color="auto" w:fill="auto"/>
              </w:rPr>
            </w:pPr>
            <w:r>
              <w:rPr>
                <w:rFonts w:hint="eastAsia" w:ascii="宋体" w:hAnsi="宋体" w:eastAsia="宋体" w:cs="宋体"/>
                <w:color w:val="auto"/>
                <w:kern w:val="0"/>
                <w:sz w:val="24"/>
                <w:szCs w:val="24"/>
                <w:shd w:val="clear" w:color="auto" w:fill="auto"/>
                <w:lang w:val="en-US" w:eastAsia="zh-CN" w:bidi="ar"/>
              </w:rPr>
              <w:t>河池市环境应急和固体废物管理中心 </w:t>
            </w:r>
          </w:p>
        </w:tc>
        <w:tc>
          <w:tcPr>
            <w:tcW w:w="1245" w:type="dxa"/>
            <w:tcBorders>
              <w:top w:val="single" w:color="auto" w:sz="8" w:space="0"/>
              <w:left w:val="single" w:color="auto" w:sz="8" w:space="0"/>
              <w:bottom w:val="single" w:color="auto" w:sz="8" w:space="0"/>
              <w:right w:val="single" w:color="auto" w:sz="8" w:space="0"/>
            </w:tcBorders>
            <w:shd w:val="clear" w:color="auto" w:fill="FFFFFF"/>
            <w:tcMar>
              <w:top w:w="0" w:type="dxa"/>
              <w:left w:w="0" w:type="dxa"/>
              <w:bottom w:w="0" w:type="dxa"/>
              <w:right w:w="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400" w:lineRule="exact"/>
              <w:ind w:left="0" w:right="0"/>
              <w:jc w:val="left"/>
              <w:textAlignment w:val="auto"/>
              <w:rPr>
                <w:rFonts w:hint="eastAsia" w:ascii="宋体" w:hAnsi="宋体" w:eastAsia="宋体" w:cs="宋体"/>
                <w:color w:val="auto"/>
                <w:sz w:val="24"/>
                <w:szCs w:val="24"/>
                <w:shd w:val="clear" w:color="auto" w:fill="auto"/>
              </w:rPr>
            </w:pPr>
            <w:r>
              <w:rPr>
                <w:rFonts w:hint="eastAsia" w:ascii="宋体" w:hAnsi="宋体" w:eastAsia="宋体" w:cs="宋体"/>
                <w:color w:val="auto"/>
                <w:kern w:val="0"/>
                <w:sz w:val="24"/>
                <w:szCs w:val="24"/>
                <w:shd w:val="clear" w:color="auto" w:fill="auto"/>
                <w:lang w:val="en-US" w:eastAsia="zh-CN" w:bidi="ar"/>
              </w:rPr>
              <w:t>全额拨款 </w:t>
            </w:r>
          </w:p>
        </w:tc>
        <w:tc>
          <w:tcPr>
            <w:tcW w:w="1230" w:type="dxa"/>
            <w:tcBorders>
              <w:top w:val="single" w:color="auto" w:sz="8" w:space="0"/>
              <w:left w:val="single" w:color="auto" w:sz="8" w:space="0"/>
              <w:bottom w:val="single" w:color="auto" w:sz="8" w:space="0"/>
              <w:right w:val="single" w:color="auto" w:sz="8" w:space="0"/>
            </w:tcBorders>
            <w:shd w:val="clear" w:color="auto" w:fill="FFFFFF"/>
            <w:tcMar>
              <w:top w:w="0" w:type="dxa"/>
              <w:left w:w="0" w:type="dxa"/>
              <w:bottom w:w="0" w:type="dxa"/>
              <w:right w:w="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400" w:lineRule="exact"/>
              <w:ind w:left="0" w:right="0" w:firstLine="640"/>
              <w:jc w:val="left"/>
              <w:textAlignment w:val="auto"/>
              <w:rPr>
                <w:rFonts w:hint="eastAsia" w:ascii="宋体" w:hAnsi="宋体" w:eastAsia="宋体" w:cs="宋体"/>
                <w:color w:val="auto"/>
                <w:sz w:val="24"/>
                <w:szCs w:val="24"/>
                <w:shd w:val="clear" w:color="auto" w:fill="auto"/>
              </w:rPr>
            </w:pPr>
            <w:r>
              <w:rPr>
                <w:rFonts w:hint="eastAsia" w:ascii="宋体" w:hAnsi="宋体" w:eastAsia="宋体" w:cs="宋体"/>
                <w:color w:val="auto"/>
                <w:kern w:val="0"/>
                <w:sz w:val="24"/>
                <w:szCs w:val="24"/>
                <w:shd w:val="clear" w:color="auto" w:fill="auto"/>
                <w:lang w:val="en-US" w:eastAsia="zh-CN" w:bidi="ar"/>
              </w:rPr>
              <w:t>10</w:t>
            </w:r>
          </w:p>
        </w:tc>
        <w:tc>
          <w:tcPr>
            <w:tcW w:w="1222" w:type="dxa"/>
            <w:tcBorders>
              <w:top w:val="single" w:color="auto" w:sz="8" w:space="0"/>
              <w:left w:val="single" w:color="auto" w:sz="8" w:space="0"/>
              <w:bottom w:val="single" w:color="auto" w:sz="8" w:space="0"/>
              <w:right w:val="single" w:color="auto" w:sz="8" w:space="0"/>
            </w:tcBorders>
            <w:shd w:val="clear" w:color="auto" w:fill="FFFFFF"/>
            <w:tcMar>
              <w:top w:w="0" w:type="dxa"/>
              <w:left w:w="0" w:type="dxa"/>
              <w:bottom w:w="0" w:type="dxa"/>
              <w:right w:w="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400" w:lineRule="exact"/>
              <w:ind w:left="0" w:right="0" w:firstLine="640"/>
              <w:jc w:val="left"/>
              <w:textAlignment w:val="auto"/>
              <w:rPr>
                <w:rFonts w:hint="eastAsia" w:ascii="宋体" w:hAnsi="宋体" w:eastAsia="宋体" w:cs="宋体"/>
                <w:color w:val="auto"/>
                <w:sz w:val="24"/>
                <w:szCs w:val="24"/>
                <w:shd w:val="clear" w:color="auto" w:fill="auto"/>
              </w:rPr>
            </w:pPr>
            <w:r>
              <w:rPr>
                <w:rFonts w:hint="eastAsia" w:ascii="宋体" w:hAnsi="宋体" w:eastAsia="宋体" w:cs="宋体"/>
                <w:color w:val="auto"/>
                <w:kern w:val="0"/>
                <w:sz w:val="24"/>
                <w:szCs w:val="24"/>
                <w:shd w:val="clear" w:color="auto" w:fill="auto"/>
                <w:lang w:val="en-US" w:eastAsia="zh-CN" w:bidi="ar"/>
              </w:rPr>
              <w:t>9 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c>
          <w:tcPr>
            <w:tcW w:w="4251" w:type="dxa"/>
            <w:tcBorders>
              <w:top w:val="single" w:color="auto" w:sz="8" w:space="0"/>
              <w:left w:val="single" w:color="auto" w:sz="8" w:space="0"/>
              <w:bottom w:val="single" w:color="auto" w:sz="8" w:space="0"/>
              <w:right w:val="single" w:color="auto" w:sz="8" w:space="0"/>
            </w:tcBorders>
            <w:shd w:val="clear" w:color="auto" w:fill="FFFFFF"/>
            <w:tcMar>
              <w:top w:w="0" w:type="dxa"/>
              <w:left w:w="0" w:type="dxa"/>
              <w:bottom w:w="0" w:type="dxa"/>
              <w:right w:w="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400" w:lineRule="exact"/>
              <w:ind w:left="0" w:right="0"/>
              <w:jc w:val="left"/>
              <w:textAlignment w:val="auto"/>
              <w:rPr>
                <w:rFonts w:hint="default" w:ascii="宋体" w:hAnsi="宋体" w:eastAsia="宋体" w:cs="宋体"/>
                <w:color w:val="auto"/>
                <w:kern w:val="0"/>
                <w:sz w:val="24"/>
                <w:szCs w:val="24"/>
                <w:shd w:val="clear" w:color="auto" w:fill="auto"/>
                <w:lang w:val="en-US" w:eastAsia="zh-CN" w:bidi="ar"/>
              </w:rPr>
            </w:pPr>
            <w:r>
              <w:rPr>
                <w:rFonts w:hint="eastAsia" w:ascii="宋体" w:hAnsi="宋体" w:eastAsia="宋体" w:cs="宋体"/>
                <w:color w:val="auto"/>
                <w:kern w:val="0"/>
                <w:sz w:val="24"/>
                <w:szCs w:val="24"/>
                <w:shd w:val="clear" w:color="auto" w:fill="auto"/>
                <w:lang w:val="en-US" w:eastAsia="zh-CN" w:bidi="ar"/>
              </w:rPr>
              <w:t xml:space="preserve">  金城区生态环境局等11个派出机构</w:t>
            </w:r>
          </w:p>
        </w:tc>
        <w:tc>
          <w:tcPr>
            <w:tcW w:w="1245" w:type="dxa"/>
            <w:tcBorders>
              <w:top w:val="single" w:color="auto" w:sz="8" w:space="0"/>
              <w:left w:val="single" w:color="auto" w:sz="8" w:space="0"/>
              <w:bottom w:val="single" w:color="auto" w:sz="8" w:space="0"/>
              <w:right w:val="single" w:color="auto" w:sz="8" w:space="0"/>
            </w:tcBorders>
            <w:shd w:val="clear" w:color="auto" w:fill="FFFFFF"/>
            <w:tcMar>
              <w:top w:w="0" w:type="dxa"/>
              <w:left w:w="0" w:type="dxa"/>
              <w:bottom w:w="0" w:type="dxa"/>
              <w:right w:w="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400" w:lineRule="exact"/>
              <w:ind w:left="0" w:right="0"/>
              <w:jc w:val="left"/>
              <w:textAlignment w:val="auto"/>
              <w:rPr>
                <w:rFonts w:hint="eastAsia" w:ascii="宋体" w:hAnsi="宋体" w:eastAsia="宋体" w:cs="宋体"/>
                <w:color w:val="auto"/>
                <w:kern w:val="0"/>
                <w:sz w:val="24"/>
                <w:szCs w:val="24"/>
                <w:shd w:val="clear" w:color="auto" w:fill="auto"/>
                <w:lang w:val="en-US" w:eastAsia="zh-CN" w:bidi="ar"/>
              </w:rPr>
            </w:pPr>
            <w:r>
              <w:rPr>
                <w:rFonts w:hint="eastAsia" w:ascii="宋体" w:hAnsi="宋体" w:eastAsia="宋体" w:cs="宋体"/>
                <w:color w:val="auto"/>
                <w:kern w:val="0"/>
                <w:sz w:val="24"/>
                <w:szCs w:val="24"/>
                <w:shd w:val="clear" w:color="auto" w:fill="auto"/>
                <w:lang w:val="en-US" w:eastAsia="zh-CN" w:bidi="ar"/>
              </w:rPr>
              <w:t>全额拨款 </w:t>
            </w:r>
          </w:p>
        </w:tc>
        <w:tc>
          <w:tcPr>
            <w:tcW w:w="1230" w:type="dxa"/>
            <w:tcBorders>
              <w:top w:val="single" w:color="auto" w:sz="8" w:space="0"/>
              <w:left w:val="single" w:color="auto" w:sz="8" w:space="0"/>
              <w:bottom w:val="single" w:color="auto" w:sz="8" w:space="0"/>
              <w:right w:val="single" w:color="auto" w:sz="8" w:space="0"/>
            </w:tcBorders>
            <w:shd w:val="clear" w:color="auto" w:fill="FFFFFF"/>
            <w:tcMar>
              <w:top w:w="0" w:type="dxa"/>
              <w:left w:w="0" w:type="dxa"/>
              <w:bottom w:w="0" w:type="dxa"/>
              <w:right w:w="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400" w:lineRule="exact"/>
              <w:ind w:left="0" w:right="0" w:firstLine="640"/>
              <w:jc w:val="left"/>
              <w:textAlignment w:val="auto"/>
              <w:rPr>
                <w:rFonts w:hint="default" w:ascii="宋体" w:hAnsi="宋体" w:eastAsia="宋体" w:cs="宋体"/>
                <w:color w:val="auto"/>
                <w:kern w:val="0"/>
                <w:sz w:val="24"/>
                <w:szCs w:val="24"/>
                <w:shd w:val="clear" w:color="auto" w:fill="auto"/>
                <w:lang w:val="en-US" w:eastAsia="zh-CN" w:bidi="ar"/>
              </w:rPr>
            </w:pPr>
            <w:r>
              <w:rPr>
                <w:rFonts w:hint="eastAsia" w:ascii="宋体" w:hAnsi="宋体" w:eastAsia="宋体" w:cs="宋体"/>
                <w:color w:val="auto"/>
                <w:kern w:val="0"/>
                <w:sz w:val="24"/>
                <w:szCs w:val="24"/>
                <w:shd w:val="clear" w:color="auto" w:fill="auto"/>
                <w:lang w:val="en-US" w:eastAsia="zh-CN" w:bidi="ar"/>
              </w:rPr>
              <w:t>232</w:t>
            </w:r>
          </w:p>
        </w:tc>
        <w:tc>
          <w:tcPr>
            <w:tcW w:w="1222" w:type="dxa"/>
            <w:tcBorders>
              <w:top w:val="single" w:color="auto" w:sz="8" w:space="0"/>
              <w:left w:val="single" w:color="auto" w:sz="8" w:space="0"/>
              <w:bottom w:val="single" w:color="auto" w:sz="8" w:space="0"/>
              <w:right w:val="single" w:color="auto" w:sz="8" w:space="0"/>
            </w:tcBorders>
            <w:shd w:val="clear" w:color="auto" w:fill="FFFFFF"/>
            <w:tcMar>
              <w:top w:w="0" w:type="dxa"/>
              <w:left w:w="0" w:type="dxa"/>
              <w:bottom w:w="0" w:type="dxa"/>
              <w:right w:w="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400" w:lineRule="exact"/>
              <w:ind w:left="0" w:right="0" w:firstLine="640"/>
              <w:jc w:val="left"/>
              <w:textAlignment w:val="auto"/>
              <w:rPr>
                <w:rFonts w:hint="default" w:ascii="宋体" w:hAnsi="宋体" w:eastAsia="宋体" w:cs="宋体"/>
                <w:color w:val="auto"/>
                <w:kern w:val="0"/>
                <w:sz w:val="24"/>
                <w:szCs w:val="24"/>
                <w:shd w:val="clear" w:color="auto" w:fill="auto"/>
                <w:lang w:val="en-US" w:eastAsia="zh-CN" w:bidi="ar"/>
              </w:rPr>
            </w:pPr>
            <w:r>
              <w:rPr>
                <w:rFonts w:hint="eastAsia" w:ascii="宋体" w:hAnsi="宋体" w:eastAsia="宋体" w:cs="宋体"/>
                <w:color w:val="auto"/>
                <w:kern w:val="0"/>
                <w:sz w:val="24"/>
                <w:szCs w:val="24"/>
                <w:shd w:val="clear" w:color="auto" w:fill="auto"/>
                <w:lang w:val="en-US" w:eastAsia="zh-CN" w:bidi="ar"/>
              </w:rPr>
              <w:t>227</w:t>
            </w:r>
          </w:p>
        </w:tc>
      </w:tr>
    </w:tbl>
    <w:p>
      <w:pPr>
        <w:jc w:val="center"/>
        <w:rPr>
          <w:rFonts w:hint="eastAsia" w:ascii="黑体" w:hAnsi="黑体" w:eastAsia="黑体" w:cs="黑体"/>
          <w:color w:val="auto"/>
          <w:sz w:val="32"/>
          <w:szCs w:val="32"/>
          <w:highlight w:val="none"/>
          <w:lang w:val="en-US" w:eastAsia="zh-CN"/>
        </w:rPr>
      </w:pPr>
    </w:p>
    <w:p>
      <w:pPr>
        <w:jc w:val="center"/>
        <w:rPr>
          <w:rFonts w:hint="eastAsia" w:ascii="黑体" w:hAnsi="黑体" w:eastAsia="黑体" w:cs="黑体"/>
          <w:color w:val="auto"/>
          <w:sz w:val="32"/>
          <w:szCs w:val="32"/>
          <w:highlight w:val="none"/>
          <w:lang w:val="en-US" w:eastAsia="zh-CN"/>
        </w:rPr>
        <w:sectPr>
          <w:pgSz w:w="11906" w:h="16838"/>
          <w:pgMar w:top="1440" w:right="1800" w:bottom="1440" w:left="1800" w:header="851" w:footer="992" w:gutter="0"/>
          <w:cols w:space="425" w:num="1"/>
          <w:docGrid w:type="lines" w:linePitch="312" w:charSpace="0"/>
        </w:sectPr>
      </w:pPr>
    </w:p>
    <w:p>
      <w:pPr>
        <w:jc w:val="both"/>
        <w:rPr>
          <w:rFonts w:hint="eastAsia" w:ascii="黑体" w:hAnsi="黑体" w:eastAsia="黑体" w:cs="黑体"/>
          <w:color w:val="auto"/>
          <w:sz w:val="32"/>
          <w:szCs w:val="32"/>
          <w:highlight w:val="none"/>
          <w:lang w:val="en-US" w:eastAsia="zh-CN"/>
        </w:rPr>
      </w:pPr>
    </w:p>
    <w:p>
      <w:pPr>
        <w:jc w:val="both"/>
        <w:rPr>
          <w:rFonts w:hint="default" w:ascii="黑体" w:hAnsi="黑体" w:eastAsia="黑体" w:cs="黑体"/>
          <w:color w:val="auto"/>
          <w:sz w:val="32"/>
          <w:szCs w:val="32"/>
          <w:highlight w:val="none"/>
          <w:lang w:val="en-US" w:eastAsia="zh-CN"/>
        </w:rPr>
      </w:pPr>
    </w:p>
    <w:p>
      <w:pPr>
        <w:jc w:val="center"/>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第二部分：</w:t>
      </w:r>
      <w:r>
        <w:rPr>
          <w:rFonts w:ascii="黑体" w:hAnsi="黑体" w:eastAsia="黑体" w:cs="黑体"/>
          <w:color w:val="auto"/>
          <w:sz w:val="32"/>
          <w:u w:color="auto"/>
        </w:rPr>
        <w:t>河池市生态环境局</w:t>
      </w:r>
      <w:r>
        <w:rPr>
          <w:rFonts w:hint="eastAsia" w:ascii="黑体" w:hAnsi="黑体" w:eastAsia="黑体" w:cs="黑体"/>
          <w:color w:val="auto"/>
          <w:sz w:val="32"/>
          <w:szCs w:val="32"/>
          <w:highlight w:val="none"/>
        </w:rPr>
        <w:t xml:space="preserve"> 2022年度部门决算报表</w:t>
      </w:r>
    </w:p>
    <w:tbl>
      <w:tblPr>
        <w:tblStyle w:val="6"/>
        <w:tblW w:w="13940" w:type="dxa"/>
        <w:tblInd w:w="96" w:type="dxa"/>
        <w:tblLayout w:type="fixed"/>
        <w:tblCellMar>
          <w:top w:w="0" w:type="dxa"/>
          <w:left w:w="108" w:type="dxa"/>
          <w:bottom w:w="0" w:type="dxa"/>
          <w:right w:w="108" w:type="dxa"/>
        </w:tblCellMar>
      </w:tblPr>
      <w:tblGrid>
        <w:gridCol w:w="2543"/>
        <w:gridCol w:w="2393"/>
        <w:gridCol w:w="2231"/>
        <w:gridCol w:w="2669"/>
        <w:gridCol w:w="2202"/>
        <w:gridCol w:w="1902"/>
      </w:tblGrid>
      <w:tr>
        <w:tblPrEx>
          <w:tblCellMar>
            <w:top w:w="0" w:type="dxa"/>
            <w:left w:w="108" w:type="dxa"/>
            <w:bottom w:w="0" w:type="dxa"/>
            <w:right w:w="108" w:type="dxa"/>
          </w:tblCellMar>
        </w:tblPrEx>
        <w:trPr>
          <w:trHeight w:val="902" w:hRule="atLeast"/>
        </w:trPr>
        <w:tc>
          <w:tcPr>
            <w:tcW w:w="13940" w:type="dxa"/>
            <w:gridSpan w:val="6"/>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表一：收入支出决算总表</w:t>
            </w:r>
          </w:p>
          <w:p>
            <w:pPr>
              <w:keepNext w:val="0"/>
              <w:keepLines w:val="0"/>
              <w:suppressLineNumbers w:val="0"/>
              <w:spacing w:before="0" w:beforeAutospacing="0" w:after="0" w:afterAutospacing="0"/>
              <w:ind w:left="0" w:right="0"/>
              <w:jc w:val="left"/>
              <w:rPr>
                <w:rFonts w:hint="default" w:ascii="仿宋" w:hAnsi="仿宋" w:eastAsia="仿宋" w:cs="仿宋"/>
                <w:color w:val="auto"/>
                <w:sz w:val="24"/>
                <w:highlight w:val="none"/>
              </w:rPr>
            </w:pPr>
          </w:p>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color w:val="auto"/>
                <w:sz w:val="30"/>
                <w:szCs w:val="30"/>
                <w:highlight w:val="none"/>
              </w:rPr>
            </w:pPr>
            <w:r>
              <w:rPr>
                <w:rFonts w:hint="eastAsia" w:ascii="宋体" w:hAnsi="宋体" w:eastAsia="宋体" w:cs="宋体"/>
                <w:color w:val="auto"/>
                <w:kern w:val="0"/>
                <w:sz w:val="32"/>
                <w:szCs w:val="32"/>
                <w:highlight w:val="none"/>
                <w:lang w:bidi="ar"/>
              </w:rPr>
              <w:t>收入支出决算总表</w:t>
            </w:r>
          </w:p>
        </w:tc>
      </w:tr>
      <w:tr>
        <w:tblPrEx>
          <w:tblCellMar>
            <w:top w:w="0" w:type="dxa"/>
            <w:left w:w="108" w:type="dxa"/>
            <w:bottom w:w="0" w:type="dxa"/>
            <w:right w:w="108" w:type="dxa"/>
          </w:tblCellMar>
        </w:tblPrEx>
        <w:trPr>
          <w:trHeight w:val="301" w:hRule="atLeast"/>
        </w:trPr>
        <w:tc>
          <w:tcPr>
            <w:tcW w:w="2543"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2393"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2231"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2669"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2202"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902" w:type="dxa"/>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公开01表</w:t>
            </w:r>
          </w:p>
        </w:tc>
      </w:tr>
      <w:tr>
        <w:tblPrEx>
          <w:tblCellMar>
            <w:top w:w="0" w:type="dxa"/>
            <w:left w:w="108" w:type="dxa"/>
            <w:bottom w:w="0" w:type="dxa"/>
            <w:right w:w="108" w:type="dxa"/>
          </w:tblCellMar>
        </w:tblPrEx>
        <w:trPr>
          <w:trHeight w:val="301" w:hRule="atLeast"/>
        </w:trPr>
        <w:tc>
          <w:tcPr>
            <w:tcW w:w="7167" w:type="dxa"/>
            <w:gridSpan w:val="3"/>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r>
              <w:rPr>
                <w:rFonts w:hint="eastAsia" w:ascii="宋体" w:hAnsi="宋体" w:eastAsia="宋体" w:cs="宋体"/>
                <w:color w:val="auto"/>
                <w:kern w:val="0"/>
                <w:sz w:val="20"/>
                <w:szCs w:val="20"/>
                <w:highlight w:val="none"/>
                <w:lang w:bidi="ar"/>
              </w:rPr>
              <w:t>部门：</w:t>
            </w:r>
            <w:r>
              <w:rPr>
                <w:rFonts w:hint="default" w:ascii="宋体" w:hAnsi="宋体" w:eastAsia="宋体" w:cs="宋体"/>
                <w:color w:val="auto"/>
                <w:sz w:val="20"/>
                <w:u w:color="auto"/>
              </w:rPr>
              <w:t>河池市生态环境局</w:t>
            </w:r>
          </w:p>
        </w:tc>
        <w:tc>
          <w:tcPr>
            <w:tcW w:w="2669" w:type="dxa"/>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2202" w:type="dxa"/>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902" w:type="dxa"/>
            <w:tcBorders>
              <w:top w:val="nil"/>
              <w:left w:val="nil"/>
              <w:bottom w:val="single" w:color="auto" w:sz="4" w:space="0"/>
              <w:right w:val="nil"/>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金额单位：万元</w:t>
            </w:r>
          </w:p>
        </w:tc>
      </w:tr>
      <w:tr>
        <w:tblPrEx>
          <w:tblCellMar>
            <w:top w:w="0" w:type="dxa"/>
            <w:left w:w="108" w:type="dxa"/>
            <w:bottom w:w="0" w:type="dxa"/>
            <w:right w:w="108" w:type="dxa"/>
          </w:tblCellMar>
        </w:tblPrEx>
        <w:trPr>
          <w:trHeight w:val="315" w:hRule="atLeast"/>
        </w:trPr>
        <w:tc>
          <w:tcPr>
            <w:tcW w:w="716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收入</w:t>
            </w:r>
          </w:p>
        </w:tc>
        <w:tc>
          <w:tcPr>
            <w:tcW w:w="6773"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支出</w:t>
            </w:r>
          </w:p>
        </w:tc>
      </w:tr>
      <w:tr>
        <w:tblPrEx>
          <w:tblCellMar>
            <w:top w:w="0" w:type="dxa"/>
            <w:left w:w="108" w:type="dxa"/>
            <w:bottom w:w="0" w:type="dxa"/>
            <w:right w:w="108" w:type="dxa"/>
          </w:tblCellMar>
        </w:tblPrEx>
        <w:trPr>
          <w:trHeight w:val="315"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项目</w:t>
            </w: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行次</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金额</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项目</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行次</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金额</w:t>
            </w:r>
          </w:p>
        </w:tc>
      </w:tr>
      <w:tr>
        <w:tblPrEx>
          <w:tblCellMar>
            <w:top w:w="0" w:type="dxa"/>
            <w:left w:w="108" w:type="dxa"/>
            <w:bottom w:w="0" w:type="dxa"/>
            <w:right w:w="108" w:type="dxa"/>
          </w:tblCellMar>
        </w:tblPrEx>
        <w:trPr>
          <w:trHeight w:val="315"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栏次</w:t>
            </w: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栏次</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2</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highlight w:val="none"/>
              </w:rPr>
            </w:pPr>
            <w:r>
              <w:rPr>
                <w:rFonts w:hint="eastAsia"/>
                <w:color w:val="auto"/>
                <w:highlight w:val="none"/>
              </w:rPr>
              <w:t>一、一般公共预算财政拨款收入</w:t>
            </w: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1</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7652.50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一、一般公共服务支出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32</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11.21</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highlight w:val="none"/>
              </w:rPr>
            </w:pPr>
            <w:r>
              <w:rPr>
                <w:rFonts w:hint="eastAsia"/>
                <w:color w:val="auto"/>
                <w:highlight w:val="none"/>
              </w:rPr>
              <w:t>二、政府性基金预算财政拨款收入</w:t>
            </w: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2</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二、外交支出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33</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highlight w:val="none"/>
              </w:rPr>
            </w:pPr>
            <w:r>
              <w:rPr>
                <w:rFonts w:hint="eastAsia"/>
                <w:color w:val="auto"/>
                <w:highlight w:val="none"/>
              </w:rPr>
              <w:t>三、国有资本经营预算财政拨款收入</w:t>
            </w: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3</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三、国防支出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34</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highlight w:val="none"/>
              </w:rPr>
            </w:pPr>
            <w:r>
              <w:rPr>
                <w:rFonts w:hint="eastAsia"/>
                <w:color w:val="auto"/>
                <w:highlight w:val="none"/>
              </w:rPr>
              <w:t>四、上级补助收入</w:t>
            </w: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4</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四、公共安全支出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35</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highlight w:val="none"/>
              </w:rPr>
            </w:pPr>
            <w:r>
              <w:rPr>
                <w:rFonts w:hint="eastAsia"/>
                <w:color w:val="auto"/>
                <w:highlight w:val="none"/>
              </w:rPr>
              <w:t>五、事业收入</w:t>
            </w: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5</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五、教育支出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36</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highlight w:val="none"/>
              </w:rPr>
            </w:pPr>
            <w:r>
              <w:rPr>
                <w:rFonts w:hint="eastAsia"/>
                <w:color w:val="auto"/>
                <w:highlight w:val="none"/>
              </w:rPr>
              <w:t>六、经营收入</w:t>
            </w: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6</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六、科学技术支出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37</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highlight w:val="none"/>
              </w:rPr>
            </w:pPr>
            <w:r>
              <w:rPr>
                <w:rFonts w:hint="eastAsia"/>
                <w:color w:val="auto"/>
                <w:highlight w:val="none"/>
              </w:rPr>
              <w:t>七、附属单位上缴收入</w:t>
            </w: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7</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七、文化旅游体育与传媒支出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38</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highlight w:val="none"/>
              </w:rPr>
            </w:pPr>
            <w:r>
              <w:rPr>
                <w:rFonts w:hint="eastAsia"/>
                <w:color w:val="auto"/>
                <w:highlight w:val="none"/>
              </w:rPr>
              <w:t>八、其他收入</w:t>
            </w: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8</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八、社会保障和就业支出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39</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127.57</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highlight w:val="none"/>
              </w:rPr>
            </w:pP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9</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九、卫生健康支出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40</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85.17</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highlight w:val="none"/>
              </w:rPr>
            </w:pP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10</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十、节能环保支出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41</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7459.25</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highlight w:val="none"/>
              </w:rPr>
            </w:pP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11</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十一、城乡社区支出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42</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highlight w:val="none"/>
              </w:rPr>
            </w:pP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12</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十二、农林水支出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43</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highlight w:val="none"/>
              </w:rPr>
            </w:pP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13</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十三、交通运输支出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44</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highlight w:val="none"/>
              </w:rPr>
            </w:pP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14</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十四、资源勘探工业信息等支出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45</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highlight w:val="none"/>
              </w:rPr>
            </w:pP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15</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十五、商业服务业等支出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46</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highlight w:val="none"/>
              </w:rPr>
            </w:pP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16</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十六、金融支出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47</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highlight w:val="none"/>
              </w:rPr>
            </w:pP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17</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十七、援助其他地区支出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48</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highlight w:val="none"/>
              </w:rPr>
            </w:pP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18</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十八、自然资源海洋气象等支出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49</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highlight w:val="none"/>
              </w:rPr>
            </w:pP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19</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十九、住房保障支出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50</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95.30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highlight w:val="none"/>
              </w:rPr>
            </w:pP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20</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二十、粮油物资储备支出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51</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highlight w:val="none"/>
              </w:rPr>
            </w:pP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21</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二十一、国有资本经营预算支出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52</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highlight w:val="none"/>
              </w:rPr>
            </w:pP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22</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二十二、灾害防治及应急管理支出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53</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highlight w:val="none"/>
              </w:rPr>
            </w:pP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23</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二十三、其他支出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54</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highlight w:val="none"/>
              </w:rPr>
            </w:pP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24</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二十四、债务还本支出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55</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highlight w:val="none"/>
              </w:rPr>
            </w:pP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25</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二十五、债务付息支出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56</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highlight w:val="none"/>
              </w:rPr>
            </w:pP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26</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二十六、抗疫特别国债安排的支出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57</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highlight w:val="none"/>
              </w:rPr>
            </w:pPr>
            <w:r>
              <w:rPr>
                <w:rFonts w:hint="eastAsia"/>
                <w:color w:val="auto"/>
                <w:highlight w:val="none"/>
              </w:rPr>
              <w:t>本年收入合计</w:t>
            </w: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27</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7652.50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本年支出合计</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58</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7778.50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highlight w:val="none"/>
              </w:rPr>
            </w:pPr>
            <w:r>
              <w:rPr>
                <w:rFonts w:hint="eastAsia"/>
                <w:color w:val="auto"/>
                <w:highlight w:val="none"/>
              </w:rPr>
              <w:t>使用非财政拨款结余</w:t>
            </w: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28</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结余分配</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59</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highlight w:val="none"/>
              </w:rPr>
            </w:pPr>
            <w:r>
              <w:rPr>
                <w:rFonts w:hint="eastAsia"/>
                <w:color w:val="auto"/>
                <w:highlight w:val="none"/>
              </w:rPr>
              <w:t>年初结转和结余</w:t>
            </w: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29</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126.00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年末结转和结余</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60</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highlight w:val="none"/>
              </w:rPr>
            </w:pP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30</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61</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highlight w:val="none"/>
              </w:rPr>
            </w:pPr>
            <w:r>
              <w:rPr>
                <w:rFonts w:hint="eastAsia"/>
                <w:color w:val="auto"/>
                <w:highlight w:val="none"/>
              </w:rPr>
              <w:t>总计</w:t>
            </w: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31</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7778.50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总计</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62</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7778.50</w:t>
            </w:r>
          </w:p>
        </w:tc>
      </w:tr>
    </w:tbl>
    <w:p>
      <w:pPr>
        <w:rPr>
          <w:rFonts w:ascii="宋体" w:hAnsi="宋体" w:eastAsia="宋体" w:cs="宋体"/>
          <w:color w:val="auto"/>
          <w:kern w:val="0"/>
          <w:sz w:val="30"/>
          <w:szCs w:val="30"/>
          <w:highlight w:val="none"/>
          <w:lang w:bidi="ar"/>
        </w:rPr>
      </w:pPr>
      <w:r>
        <w:rPr>
          <w:rFonts w:hint="eastAsia" w:ascii="宋体" w:hAnsi="宋体" w:eastAsia="宋体" w:cs="宋体"/>
          <w:color w:val="auto"/>
          <w:kern w:val="0"/>
          <w:sz w:val="30"/>
          <w:szCs w:val="30"/>
          <w:highlight w:val="none"/>
          <w:lang w:bidi="ar"/>
        </w:rPr>
        <w:br w:type="page"/>
      </w:r>
    </w:p>
    <w:tbl>
      <w:tblPr>
        <w:tblStyle w:val="6"/>
        <w:tblW w:w="13960" w:type="dxa"/>
        <w:tblInd w:w="96" w:type="dxa"/>
        <w:tblLayout w:type="fixed"/>
        <w:tblCellMar>
          <w:top w:w="0" w:type="dxa"/>
          <w:left w:w="108" w:type="dxa"/>
          <w:bottom w:w="0" w:type="dxa"/>
          <w:right w:w="108" w:type="dxa"/>
        </w:tblCellMar>
      </w:tblPr>
      <w:tblGrid>
        <w:gridCol w:w="1584"/>
        <w:gridCol w:w="1378"/>
        <w:gridCol w:w="236"/>
        <w:gridCol w:w="236"/>
        <w:gridCol w:w="524"/>
        <w:gridCol w:w="1520"/>
        <w:gridCol w:w="1453"/>
        <w:gridCol w:w="1373"/>
        <w:gridCol w:w="1467"/>
        <w:gridCol w:w="1480"/>
        <w:gridCol w:w="1440"/>
        <w:gridCol w:w="1269"/>
      </w:tblGrid>
      <w:tr>
        <w:tblPrEx>
          <w:tblCellMar>
            <w:top w:w="0" w:type="dxa"/>
            <w:left w:w="108" w:type="dxa"/>
            <w:bottom w:w="0" w:type="dxa"/>
            <w:right w:w="108" w:type="dxa"/>
          </w:tblCellMar>
        </w:tblPrEx>
        <w:trPr>
          <w:trHeight w:val="951" w:hRule="atLeast"/>
        </w:trPr>
        <w:tc>
          <w:tcPr>
            <w:tcW w:w="13960" w:type="dxa"/>
            <w:gridSpan w:val="12"/>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表二：收入决算表</w:t>
            </w:r>
          </w:p>
          <w:p>
            <w:pPr>
              <w:keepNext w:val="0"/>
              <w:keepLines w:val="0"/>
              <w:suppressLineNumbers w:val="0"/>
              <w:spacing w:before="0" w:beforeAutospacing="0" w:after="0" w:afterAutospacing="0"/>
              <w:ind w:left="0" w:right="0"/>
              <w:jc w:val="left"/>
              <w:rPr>
                <w:rFonts w:hint="default" w:ascii="仿宋" w:hAnsi="仿宋" w:eastAsia="仿宋" w:cs="仿宋"/>
                <w:color w:val="auto"/>
                <w:sz w:val="24"/>
                <w:highlight w:val="none"/>
              </w:rPr>
            </w:pPr>
          </w:p>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color w:val="auto"/>
                <w:sz w:val="30"/>
                <w:szCs w:val="30"/>
                <w:highlight w:val="none"/>
              </w:rPr>
            </w:pPr>
            <w:r>
              <w:rPr>
                <w:rFonts w:hint="eastAsia" w:ascii="宋体" w:hAnsi="宋体" w:eastAsia="宋体" w:cs="宋体"/>
                <w:color w:val="auto"/>
                <w:kern w:val="0"/>
                <w:sz w:val="32"/>
                <w:szCs w:val="32"/>
                <w:highlight w:val="none"/>
                <w:lang w:bidi="ar"/>
              </w:rPr>
              <w:t>收入决算表</w:t>
            </w:r>
          </w:p>
        </w:tc>
      </w:tr>
      <w:tr>
        <w:tblPrEx>
          <w:tblCellMar>
            <w:top w:w="0" w:type="dxa"/>
            <w:left w:w="108" w:type="dxa"/>
            <w:bottom w:w="0" w:type="dxa"/>
            <w:right w:w="108" w:type="dxa"/>
          </w:tblCellMar>
        </w:tblPrEx>
        <w:trPr>
          <w:trHeight w:val="317" w:hRule="atLeast"/>
        </w:trPr>
        <w:tc>
          <w:tcPr>
            <w:tcW w:w="2962" w:type="dxa"/>
            <w:gridSpan w:val="2"/>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236"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236"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524"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520"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453"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373"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467"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480"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2709" w:type="dxa"/>
            <w:gridSpan w:val="2"/>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公开02表</w:t>
            </w:r>
          </w:p>
        </w:tc>
      </w:tr>
      <w:tr>
        <w:tblPrEx>
          <w:tblCellMar>
            <w:top w:w="0" w:type="dxa"/>
            <w:left w:w="108" w:type="dxa"/>
            <w:bottom w:w="0" w:type="dxa"/>
            <w:right w:w="108" w:type="dxa"/>
          </w:tblCellMar>
        </w:tblPrEx>
        <w:trPr>
          <w:trHeight w:val="317" w:hRule="atLeast"/>
        </w:trPr>
        <w:tc>
          <w:tcPr>
            <w:tcW w:w="6931" w:type="dxa"/>
            <w:gridSpan w:val="7"/>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r>
              <w:rPr>
                <w:rFonts w:hint="eastAsia" w:ascii="宋体" w:hAnsi="宋体" w:eastAsia="宋体" w:cs="宋体"/>
                <w:color w:val="auto"/>
                <w:kern w:val="0"/>
                <w:sz w:val="20"/>
                <w:szCs w:val="20"/>
                <w:highlight w:val="none"/>
                <w:lang w:bidi="ar"/>
              </w:rPr>
              <w:t>部门：</w:t>
            </w:r>
            <w:r>
              <w:rPr>
                <w:rFonts w:hint="default" w:ascii="宋体" w:hAnsi="宋体" w:eastAsia="宋体" w:cs="宋体"/>
                <w:color w:val="auto"/>
                <w:sz w:val="20"/>
                <w:u w:color="auto"/>
              </w:rPr>
              <w:t>河池市生态环境局</w:t>
            </w:r>
          </w:p>
        </w:tc>
        <w:tc>
          <w:tcPr>
            <w:tcW w:w="1373" w:type="dxa"/>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467" w:type="dxa"/>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480" w:type="dxa"/>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2709" w:type="dxa"/>
            <w:gridSpan w:val="2"/>
            <w:tcBorders>
              <w:top w:val="nil"/>
              <w:left w:val="nil"/>
              <w:bottom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金额单位：万元</w:t>
            </w:r>
          </w:p>
        </w:tc>
      </w:tr>
      <w:tr>
        <w:tblPrEx>
          <w:tblCellMar>
            <w:top w:w="0" w:type="dxa"/>
            <w:left w:w="108" w:type="dxa"/>
            <w:bottom w:w="0" w:type="dxa"/>
            <w:right w:w="108" w:type="dxa"/>
          </w:tblCellMar>
        </w:tblPrEx>
        <w:trPr>
          <w:trHeight w:val="327" w:hRule="atLeast"/>
        </w:trPr>
        <w:tc>
          <w:tcPr>
            <w:tcW w:w="3958"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项目</w:t>
            </w:r>
          </w:p>
        </w:tc>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Cs w:val="21"/>
                <w:highlight w:val="none"/>
              </w:rPr>
            </w:pPr>
            <w:r>
              <w:rPr>
                <w:rFonts w:hint="eastAsia" w:ascii="宋体" w:hAnsi="宋体" w:eastAsia="宋体" w:cs="宋体"/>
                <w:color w:val="auto"/>
                <w:kern w:val="0"/>
                <w:szCs w:val="21"/>
                <w:highlight w:val="none"/>
                <w:lang w:bidi="ar"/>
              </w:rPr>
              <w:t>本年收入合计</w:t>
            </w:r>
          </w:p>
        </w:tc>
        <w:tc>
          <w:tcPr>
            <w:tcW w:w="145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Cs w:val="21"/>
                <w:highlight w:val="none"/>
              </w:rPr>
            </w:pPr>
            <w:r>
              <w:rPr>
                <w:rFonts w:hint="eastAsia" w:ascii="宋体" w:hAnsi="宋体" w:eastAsia="宋体" w:cs="宋体"/>
                <w:color w:val="auto"/>
                <w:kern w:val="0"/>
                <w:szCs w:val="21"/>
                <w:highlight w:val="none"/>
                <w:lang w:bidi="ar"/>
              </w:rPr>
              <w:t>财政拨款收入</w:t>
            </w:r>
          </w:p>
        </w:tc>
        <w:tc>
          <w:tcPr>
            <w:tcW w:w="137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Cs w:val="21"/>
                <w:highlight w:val="none"/>
              </w:rPr>
            </w:pPr>
            <w:r>
              <w:rPr>
                <w:rFonts w:hint="eastAsia" w:ascii="宋体" w:hAnsi="宋体" w:eastAsia="宋体" w:cs="宋体"/>
                <w:color w:val="auto"/>
                <w:kern w:val="0"/>
                <w:szCs w:val="21"/>
                <w:highlight w:val="none"/>
                <w:lang w:bidi="ar"/>
              </w:rPr>
              <w:t>上级补助收入</w:t>
            </w:r>
          </w:p>
        </w:tc>
        <w:tc>
          <w:tcPr>
            <w:tcW w:w="146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Cs w:val="21"/>
                <w:highlight w:val="none"/>
              </w:rPr>
            </w:pPr>
            <w:r>
              <w:rPr>
                <w:rFonts w:hint="eastAsia" w:ascii="宋体" w:hAnsi="宋体" w:eastAsia="宋体" w:cs="宋体"/>
                <w:color w:val="auto"/>
                <w:kern w:val="0"/>
                <w:szCs w:val="21"/>
                <w:highlight w:val="none"/>
                <w:lang w:bidi="ar"/>
              </w:rPr>
              <w:t>事业收入</w:t>
            </w:r>
          </w:p>
        </w:tc>
        <w:tc>
          <w:tcPr>
            <w:tcW w:w="14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Cs w:val="21"/>
                <w:highlight w:val="none"/>
              </w:rPr>
            </w:pPr>
            <w:r>
              <w:rPr>
                <w:rFonts w:hint="eastAsia" w:ascii="宋体" w:hAnsi="宋体" w:eastAsia="宋体" w:cs="宋体"/>
                <w:color w:val="auto"/>
                <w:kern w:val="0"/>
                <w:szCs w:val="21"/>
                <w:highlight w:val="none"/>
                <w:lang w:bidi="ar"/>
              </w:rPr>
              <w:t>经营收入</w:t>
            </w:r>
          </w:p>
        </w:tc>
        <w:tc>
          <w:tcPr>
            <w:tcW w:w="14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Cs w:val="21"/>
                <w:highlight w:val="none"/>
              </w:rPr>
            </w:pPr>
            <w:r>
              <w:rPr>
                <w:rFonts w:hint="eastAsia" w:ascii="宋体" w:hAnsi="宋体" w:eastAsia="宋体" w:cs="宋体"/>
                <w:color w:val="auto"/>
                <w:kern w:val="0"/>
                <w:szCs w:val="21"/>
                <w:highlight w:val="none"/>
                <w:lang w:bidi="ar"/>
              </w:rPr>
              <w:t>附属单位上缴收入</w:t>
            </w:r>
          </w:p>
        </w:tc>
        <w:tc>
          <w:tcPr>
            <w:tcW w:w="126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Cs w:val="21"/>
                <w:highlight w:val="none"/>
              </w:rPr>
            </w:pPr>
            <w:r>
              <w:rPr>
                <w:rFonts w:hint="eastAsia" w:ascii="宋体" w:hAnsi="宋体" w:eastAsia="宋体" w:cs="宋体"/>
                <w:color w:val="auto"/>
                <w:kern w:val="0"/>
                <w:szCs w:val="21"/>
                <w:highlight w:val="none"/>
                <w:lang w:bidi="ar"/>
              </w:rPr>
              <w:t>其他收入</w:t>
            </w:r>
          </w:p>
        </w:tc>
      </w:tr>
      <w:tr>
        <w:tblPrEx>
          <w:tblCellMar>
            <w:top w:w="0" w:type="dxa"/>
            <w:left w:w="108" w:type="dxa"/>
            <w:bottom w:w="0" w:type="dxa"/>
            <w:right w:w="108" w:type="dxa"/>
          </w:tblCellMar>
        </w:tblPrEx>
        <w:trPr>
          <w:trHeight w:val="327" w:hRule="atLeast"/>
        </w:trPr>
        <w:tc>
          <w:tcPr>
            <w:tcW w:w="158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功能分类科目编码</w:t>
            </w:r>
          </w:p>
        </w:tc>
        <w:tc>
          <w:tcPr>
            <w:tcW w:w="2374" w:type="dxa"/>
            <w:gridSpan w:val="4"/>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科目名称</w:t>
            </w:r>
          </w:p>
        </w:tc>
        <w:tc>
          <w:tcPr>
            <w:tcW w:w="15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45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37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46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44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26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327" w:hRule="atLeast"/>
        </w:trPr>
        <w:tc>
          <w:tcPr>
            <w:tcW w:w="158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2374" w:type="dxa"/>
            <w:gridSpan w:val="4"/>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5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45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37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46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44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26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327" w:hRule="atLeast"/>
        </w:trPr>
        <w:tc>
          <w:tcPr>
            <w:tcW w:w="158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2374" w:type="dxa"/>
            <w:gridSpan w:val="4"/>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5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45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37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46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44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26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327" w:hRule="atLeast"/>
        </w:trPr>
        <w:tc>
          <w:tcPr>
            <w:tcW w:w="3958"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栏次</w:t>
            </w:r>
          </w:p>
        </w:tc>
        <w:tc>
          <w:tcPr>
            <w:tcW w:w="15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w:t>
            </w:r>
          </w:p>
        </w:tc>
        <w:tc>
          <w:tcPr>
            <w:tcW w:w="14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2</w:t>
            </w:r>
          </w:p>
        </w:tc>
        <w:tc>
          <w:tcPr>
            <w:tcW w:w="13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3</w:t>
            </w:r>
          </w:p>
        </w:tc>
        <w:tc>
          <w:tcPr>
            <w:tcW w:w="146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4</w:t>
            </w:r>
          </w:p>
        </w:tc>
        <w:tc>
          <w:tcPr>
            <w:tcW w:w="14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5</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6</w:t>
            </w:r>
          </w:p>
        </w:tc>
        <w:tc>
          <w:tcPr>
            <w:tcW w:w="126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7</w:t>
            </w:r>
          </w:p>
        </w:tc>
      </w:tr>
      <w:tr>
        <w:tblPrEx>
          <w:tblCellMar>
            <w:top w:w="0" w:type="dxa"/>
            <w:left w:w="108" w:type="dxa"/>
            <w:bottom w:w="0" w:type="dxa"/>
            <w:right w:w="108" w:type="dxa"/>
          </w:tblCellMar>
        </w:tblPrEx>
        <w:trPr>
          <w:trHeight w:val="961" w:hRule="atLeast"/>
        </w:trPr>
        <w:tc>
          <w:tcPr>
            <w:tcW w:w="3958"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合计</w:t>
            </w:r>
          </w:p>
        </w:tc>
        <w:tc>
          <w:tcPr>
            <w:tcW w:w="15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7652.50</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7652.50</w:t>
            </w:r>
          </w:p>
        </w:tc>
        <w:tc>
          <w:tcPr>
            <w:tcW w:w="13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0.00</w:t>
            </w:r>
          </w:p>
        </w:tc>
        <w:tc>
          <w:tcPr>
            <w:tcW w:w="146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0.00</w:t>
            </w:r>
          </w:p>
        </w:tc>
        <w:tc>
          <w:tcPr>
            <w:tcW w:w="14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0.00</w:t>
            </w:r>
          </w:p>
        </w:tc>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0.00</w:t>
            </w:r>
          </w:p>
        </w:tc>
        <w:tc>
          <w:tcPr>
            <w:tcW w:w="12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0.00</w:t>
            </w:r>
          </w:p>
        </w:tc>
      </w:tr>
      <w:tr>
        <w:tblPrEx>
          <w:tblCellMar>
            <w:top w:w="0" w:type="dxa"/>
            <w:left w:w="108" w:type="dxa"/>
            <w:bottom w:w="0" w:type="dxa"/>
            <w:right w:w="108" w:type="dxa"/>
          </w:tblCellMar>
        </w:tblPrEx>
        <w:trPr>
          <w:trHeight w:val="327" w:hRule="atLeast"/>
        </w:trPr>
        <w:tc>
          <w:tcPr>
            <w:tcW w:w="15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2011301</w:t>
            </w:r>
          </w:p>
        </w:tc>
        <w:tc>
          <w:tcPr>
            <w:tcW w:w="2374"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行政运行</w:t>
            </w:r>
          </w:p>
        </w:tc>
        <w:tc>
          <w:tcPr>
            <w:tcW w:w="15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1.34</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1.34</w:t>
            </w:r>
          </w:p>
        </w:tc>
        <w:tc>
          <w:tcPr>
            <w:tcW w:w="13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6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2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27" w:hRule="atLeast"/>
        </w:trPr>
        <w:tc>
          <w:tcPr>
            <w:tcW w:w="15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2019999</w:t>
            </w:r>
          </w:p>
        </w:tc>
        <w:tc>
          <w:tcPr>
            <w:tcW w:w="2374"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其他一般公共服务支出</w:t>
            </w:r>
          </w:p>
        </w:tc>
        <w:tc>
          <w:tcPr>
            <w:tcW w:w="15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9.87</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9.87</w:t>
            </w:r>
          </w:p>
        </w:tc>
        <w:tc>
          <w:tcPr>
            <w:tcW w:w="13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6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2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27" w:hRule="atLeast"/>
        </w:trPr>
        <w:tc>
          <w:tcPr>
            <w:tcW w:w="15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2080505</w:t>
            </w:r>
          </w:p>
        </w:tc>
        <w:tc>
          <w:tcPr>
            <w:tcW w:w="2374"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机关事业单位基本养老保险缴费支出</w:t>
            </w:r>
          </w:p>
        </w:tc>
        <w:tc>
          <w:tcPr>
            <w:tcW w:w="15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127.07</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127.07</w:t>
            </w:r>
          </w:p>
        </w:tc>
        <w:tc>
          <w:tcPr>
            <w:tcW w:w="13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6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2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27" w:hRule="atLeast"/>
        </w:trPr>
        <w:tc>
          <w:tcPr>
            <w:tcW w:w="15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2089999</w:t>
            </w:r>
          </w:p>
        </w:tc>
        <w:tc>
          <w:tcPr>
            <w:tcW w:w="2374"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其他社会保障和就业支出</w:t>
            </w:r>
          </w:p>
        </w:tc>
        <w:tc>
          <w:tcPr>
            <w:tcW w:w="15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0.50</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0.50</w:t>
            </w:r>
          </w:p>
        </w:tc>
        <w:tc>
          <w:tcPr>
            <w:tcW w:w="13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6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2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27" w:hRule="atLeast"/>
        </w:trPr>
        <w:tc>
          <w:tcPr>
            <w:tcW w:w="15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2101101</w:t>
            </w:r>
          </w:p>
        </w:tc>
        <w:tc>
          <w:tcPr>
            <w:tcW w:w="2374"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行政单位医疗</w:t>
            </w:r>
          </w:p>
        </w:tc>
        <w:tc>
          <w:tcPr>
            <w:tcW w:w="15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53.40</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53.40</w:t>
            </w:r>
          </w:p>
        </w:tc>
        <w:tc>
          <w:tcPr>
            <w:tcW w:w="13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6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2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27" w:hRule="atLeast"/>
        </w:trPr>
        <w:tc>
          <w:tcPr>
            <w:tcW w:w="15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2101103</w:t>
            </w:r>
          </w:p>
        </w:tc>
        <w:tc>
          <w:tcPr>
            <w:tcW w:w="2374"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公务员医疗补助</w:t>
            </w:r>
          </w:p>
        </w:tc>
        <w:tc>
          <w:tcPr>
            <w:tcW w:w="15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31.77</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31.77</w:t>
            </w:r>
          </w:p>
        </w:tc>
        <w:tc>
          <w:tcPr>
            <w:tcW w:w="13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6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2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27" w:hRule="atLeast"/>
        </w:trPr>
        <w:tc>
          <w:tcPr>
            <w:tcW w:w="15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2110101</w:t>
            </w:r>
          </w:p>
        </w:tc>
        <w:tc>
          <w:tcPr>
            <w:tcW w:w="2374"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行政运行</w:t>
            </w:r>
          </w:p>
        </w:tc>
        <w:tc>
          <w:tcPr>
            <w:tcW w:w="15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985.78</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985.78</w:t>
            </w:r>
          </w:p>
        </w:tc>
        <w:tc>
          <w:tcPr>
            <w:tcW w:w="13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6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2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27" w:hRule="atLeast"/>
        </w:trPr>
        <w:tc>
          <w:tcPr>
            <w:tcW w:w="15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2110102</w:t>
            </w:r>
          </w:p>
        </w:tc>
        <w:tc>
          <w:tcPr>
            <w:tcW w:w="2374"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一般行政管理事务</w:t>
            </w:r>
          </w:p>
        </w:tc>
        <w:tc>
          <w:tcPr>
            <w:tcW w:w="15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29.85</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29.85</w:t>
            </w:r>
          </w:p>
        </w:tc>
        <w:tc>
          <w:tcPr>
            <w:tcW w:w="13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6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2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27" w:hRule="atLeast"/>
        </w:trPr>
        <w:tc>
          <w:tcPr>
            <w:tcW w:w="15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2110104</w:t>
            </w:r>
          </w:p>
        </w:tc>
        <w:tc>
          <w:tcPr>
            <w:tcW w:w="2374"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生态环境保护宣传</w:t>
            </w:r>
          </w:p>
        </w:tc>
        <w:tc>
          <w:tcPr>
            <w:tcW w:w="15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5.00</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5.00</w:t>
            </w:r>
          </w:p>
        </w:tc>
        <w:tc>
          <w:tcPr>
            <w:tcW w:w="13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6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2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27" w:hRule="atLeast"/>
        </w:trPr>
        <w:tc>
          <w:tcPr>
            <w:tcW w:w="15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2110204</w:t>
            </w:r>
          </w:p>
        </w:tc>
        <w:tc>
          <w:tcPr>
            <w:tcW w:w="2374"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核与辐射安全监督</w:t>
            </w:r>
          </w:p>
        </w:tc>
        <w:tc>
          <w:tcPr>
            <w:tcW w:w="15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0.46</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0.46</w:t>
            </w:r>
          </w:p>
        </w:tc>
        <w:tc>
          <w:tcPr>
            <w:tcW w:w="13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6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2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27" w:hRule="atLeast"/>
        </w:trPr>
        <w:tc>
          <w:tcPr>
            <w:tcW w:w="15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2110299</w:t>
            </w:r>
          </w:p>
        </w:tc>
        <w:tc>
          <w:tcPr>
            <w:tcW w:w="2374"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其他环境监测与监察支出</w:t>
            </w:r>
          </w:p>
        </w:tc>
        <w:tc>
          <w:tcPr>
            <w:tcW w:w="15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445.47</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445.47</w:t>
            </w:r>
          </w:p>
        </w:tc>
        <w:tc>
          <w:tcPr>
            <w:tcW w:w="13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6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2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27" w:hRule="atLeast"/>
        </w:trPr>
        <w:tc>
          <w:tcPr>
            <w:tcW w:w="15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2110301</w:t>
            </w:r>
          </w:p>
        </w:tc>
        <w:tc>
          <w:tcPr>
            <w:tcW w:w="2374"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大气</w:t>
            </w:r>
          </w:p>
        </w:tc>
        <w:tc>
          <w:tcPr>
            <w:tcW w:w="15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224.70</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224.70</w:t>
            </w:r>
          </w:p>
        </w:tc>
        <w:tc>
          <w:tcPr>
            <w:tcW w:w="13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6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2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27" w:hRule="atLeast"/>
        </w:trPr>
        <w:tc>
          <w:tcPr>
            <w:tcW w:w="15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2110302</w:t>
            </w:r>
          </w:p>
        </w:tc>
        <w:tc>
          <w:tcPr>
            <w:tcW w:w="2374"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水体</w:t>
            </w:r>
          </w:p>
        </w:tc>
        <w:tc>
          <w:tcPr>
            <w:tcW w:w="15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1069.71</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1069.71</w:t>
            </w:r>
          </w:p>
        </w:tc>
        <w:tc>
          <w:tcPr>
            <w:tcW w:w="13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6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2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27" w:hRule="atLeast"/>
        </w:trPr>
        <w:tc>
          <w:tcPr>
            <w:tcW w:w="15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2110307</w:t>
            </w:r>
          </w:p>
        </w:tc>
        <w:tc>
          <w:tcPr>
            <w:tcW w:w="2374"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土壤</w:t>
            </w:r>
          </w:p>
        </w:tc>
        <w:tc>
          <w:tcPr>
            <w:tcW w:w="15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887.45</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887.45</w:t>
            </w:r>
          </w:p>
        </w:tc>
        <w:tc>
          <w:tcPr>
            <w:tcW w:w="13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6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2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27" w:hRule="atLeast"/>
        </w:trPr>
        <w:tc>
          <w:tcPr>
            <w:tcW w:w="15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2110399</w:t>
            </w:r>
          </w:p>
        </w:tc>
        <w:tc>
          <w:tcPr>
            <w:tcW w:w="2374"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其他污染防治支出</w:t>
            </w:r>
          </w:p>
        </w:tc>
        <w:tc>
          <w:tcPr>
            <w:tcW w:w="15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45.73</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45.73</w:t>
            </w:r>
          </w:p>
        </w:tc>
        <w:tc>
          <w:tcPr>
            <w:tcW w:w="13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6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2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27" w:hRule="atLeast"/>
        </w:trPr>
        <w:tc>
          <w:tcPr>
            <w:tcW w:w="15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2111101</w:t>
            </w:r>
          </w:p>
        </w:tc>
        <w:tc>
          <w:tcPr>
            <w:tcW w:w="2374"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生态环境监测与信息</w:t>
            </w:r>
          </w:p>
        </w:tc>
        <w:tc>
          <w:tcPr>
            <w:tcW w:w="15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4.93</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4.93</w:t>
            </w:r>
          </w:p>
        </w:tc>
        <w:tc>
          <w:tcPr>
            <w:tcW w:w="13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6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2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27" w:hRule="atLeast"/>
        </w:trPr>
        <w:tc>
          <w:tcPr>
            <w:tcW w:w="15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2111102</w:t>
            </w:r>
          </w:p>
        </w:tc>
        <w:tc>
          <w:tcPr>
            <w:tcW w:w="2374"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生态环境执法监察</w:t>
            </w:r>
          </w:p>
        </w:tc>
        <w:tc>
          <w:tcPr>
            <w:tcW w:w="15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11.34</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11.34</w:t>
            </w:r>
          </w:p>
        </w:tc>
        <w:tc>
          <w:tcPr>
            <w:tcW w:w="13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6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2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27" w:hRule="atLeast"/>
        </w:trPr>
        <w:tc>
          <w:tcPr>
            <w:tcW w:w="15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2111199</w:t>
            </w:r>
          </w:p>
        </w:tc>
        <w:tc>
          <w:tcPr>
            <w:tcW w:w="2374"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其他污染减排支出</w:t>
            </w:r>
          </w:p>
        </w:tc>
        <w:tc>
          <w:tcPr>
            <w:tcW w:w="15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3618.96</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3618.96</w:t>
            </w:r>
          </w:p>
        </w:tc>
        <w:tc>
          <w:tcPr>
            <w:tcW w:w="13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6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2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27" w:hRule="atLeast"/>
        </w:trPr>
        <w:tc>
          <w:tcPr>
            <w:tcW w:w="15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2119999</w:t>
            </w:r>
          </w:p>
        </w:tc>
        <w:tc>
          <w:tcPr>
            <w:tcW w:w="2374"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其他节能环保支出</w:t>
            </w:r>
          </w:p>
        </w:tc>
        <w:tc>
          <w:tcPr>
            <w:tcW w:w="15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3.85</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3.85</w:t>
            </w:r>
          </w:p>
        </w:tc>
        <w:tc>
          <w:tcPr>
            <w:tcW w:w="13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6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2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27" w:hRule="atLeast"/>
        </w:trPr>
        <w:tc>
          <w:tcPr>
            <w:tcW w:w="15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2210201</w:t>
            </w:r>
          </w:p>
        </w:tc>
        <w:tc>
          <w:tcPr>
            <w:tcW w:w="2374"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住房公积金</w:t>
            </w:r>
          </w:p>
        </w:tc>
        <w:tc>
          <w:tcPr>
            <w:tcW w:w="15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95.30</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95.30</w:t>
            </w:r>
          </w:p>
        </w:tc>
        <w:tc>
          <w:tcPr>
            <w:tcW w:w="13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6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2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27" w:hRule="atLeast"/>
        </w:trPr>
        <w:tc>
          <w:tcPr>
            <w:tcW w:w="13960" w:type="dxa"/>
            <w:gridSpan w:val="12"/>
            <w:tcBorders>
              <w:top w:val="single" w:color="auto" w:sz="4" w:space="0"/>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注：本表反映部门本年度取得的各项收入情况。</w:t>
            </w:r>
          </w:p>
        </w:tc>
      </w:tr>
    </w:tbl>
    <w:p>
      <w:pPr>
        <w:jc w:val="center"/>
        <w:rPr>
          <w:rFonts w:ascii="仿宋" w:hAnsi="仿宋" w:eastAsia="仿宋" w:cs="仿宋"/>
          <w:color w:val="auto"/>
          <w:sz w:val="24"/>
          <w:highlight w:val="none"/>
        </w:rPr>
      </w:pPr>
    </w:p>
    <w:p>
      <w:pPr>
        <w:rPr>
          <w:rFonts w:ascii="仿宋" w:hAnsi="仿宋" w:eastAsia="仿宋" w:cs="仿宋"/>
          <w:color w:val="auto"/>
          <w:sz w:val="24"/>
          <w:highlight w:val="none"/>
        </w:rPr>
      </w:pPr>
      <w:r>
        <w:rPr>
          <w:rFonts w:ascii="仿宋" w:hAnsi="仿宋" w:eastAsia="仿宋" w:cs="仿宋"/>
          <w:color w:val="auto"/>
          <w:sz w:val="24"/>
          <w:highlight w:val="none"/>
        </w:rPr>
        <w:br w:type="page"/>
      </w:r>
    </w:p>
    <w:p>
      <w:pPr>
        <w:jc w:val="center"/>
        <w:rPr>
          <w:rFonts w:ascii="仿宋" w:hAnsi="仿宋" w:eastAsia="仿宋" w:cs="仿宋"/>
          <w:color w:val="auto"/>
          <w:sz w:val="24"/>
          <w:highlight w:val="none"/>
        </w:rPr>
      </w:pPr>
    </w:p>
    <w:p>
      <w:pPr>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表三：支出决算表</w:t>
      </w:r>
    </w:p>
    <w:p>
      <w:pPr>
        <w:jc w:val="left"/>
        <w:rPr>
          <w:rFonts w:hint="eastAsia" w:ascii="仿宋" w:hAnsi="仿宋" w:eastAsia="仿宋" w:cs="仿宋"/>
          <w:color w:val="auto"/>
          <w:sz w:val="24"/>
          <w:highlight w:val="none"/>
        </w:rPr>
      </w:pPr>
    </w:p>
    <w:tbl>
      <w:tblPr>
        <w:tblStyle w:val="6"/>
        <w:tblW w:w="13980" w:type="dxa"/>
        <w:tblInd w:w="96" w:type="dxa"/>
        <w:tblLayout w:type="fixed"/>
        <w:tblCellMar>
          <w:top w:w="0" w:type="dxa"/>
          <w:left w:w="108" w:type="dxa"/>
          <w:bottom w:w="0" w:type="dxa"/>
          <w:right w:w="108" w:type="dxa"/>
        </w:tblCellMar>
      </w:tblPr>
      <w:tblGrid>
        <w:gridCol w:w="1142"/>
        <w:gridCol w:w="237"/>
        <w:gridCol w:w="239"/>
        <w:gridCol w:w="64"/>
        <w:gridCol w:w="2222"/>
        <w:gridCol w:w="1627"/>
        <w:gridCol w:w="1680"/>
        <w:gridCol w:w="1760"/>
        <w:gridCol w:w="1653"/>
        <w:gridCol w:w="1654"/>
        <w:gridCol w:w="1702"/>
      </w:tblGrid>
      <w:tr>
        <w:tblPrEx>
          <w:tblCellMar>
            <w:top w:w="0" w:type="dxa"/>
            <w:left w:w="108" w:type="dxa"/>
            <w:bottom w:w="0" w:type="dxa"/>
            <w:right w:w="108" w:type="dxa"/>
          </w:tblCellMar>
        </w:tblPrEx>
        <w:trPr>
          <w:trHeight w:val="623" w:hRule="atLeast"/>
        </w:trPr>
        <w:tc>
          <w:tcPr>
            <w:tcW w:w="13980" w:type="dxa"/>
            <w:gridSpan w:val="11"/>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30"/>
                <w:szCs w:val="30"/>
                <w:highlight w:val="none"/>
              </w:rPr>
            </w:pPr>
            <w:r>
              <w:rPr>
                <w:rFonts w:hint="eastAsia" w:ascii="宋体" w:hAnsi="宋体" w:eastAsia="宋体" w:cs="宋体"/>
                <w:color w:val="auto"/>
                <w:kern w:val="0"/>
                <w:sz w:val="32"/>
                <w:szCs w:val="32"/>
                <w:highlight w:val="none"/>
                <w:lang w:bidi="ar"/>
              </w:rPr>
              <w:t>支出决算表</w:t>
            </w:r>
          </w:p>
        </w:tc>
      </w:tr>
      <w:tr>
        <w:tblPrEx>
          <w:tblCellMar>
            <w:top w:w="0" w:type="dxa"/>
            <w:left w:w="108" w:type="dxa"/>
            <w:bottom w:w="0" w:type="dxa"/>
            <w:right w:w="108" w:type="dxa"/>
          </w:tblCellMar>
        </w:tblPrEx>
        <w:trPr>
          <w:trHeight w:val="312" w:hRule="atLeast"/>
        </w:trPr>
        <w:tc>
          <w:tcPr>
            <w:tcW w:w="1142" w:type="dxa"/>
            <w:tcBorders>
              <w:top w:val="nil"/>
              <w:left w:val="nil"/>
              <w:bottom w:val="nil"/>
              <w:right w:val="nil"/>
            </w:tcBorders>
            <w:shd w:val="clear" w:color="auto" w:fill="auto"/>
            <w:noWrap/>
            <w:vAlign w:val="center"/>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237" w:type="dxa"/>
            <w:tcBorders>
              <w:top w:val="nil"/>
              <w:left w:val="nil"/>
              <w:bottom w:val="nil"/>
              <w:right w:val="nil"/>
            </w:tcBorders>
            <w:shd w:val="clear" w:color="auto" w:fill="auto"/>
            <w:noWrap/>
            <w:vAlign w:val="center"/>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303" w:type="dxa"/>
            <w:gridSpan w:val="2"/>
            <w:tcBorders>
              <w:top w:val="nil"/>
              <w:left w:val="nil"/>
              <w:bottom w:val="nil"/>
              <w:right w:val="nil"/>
            </w:tcBorders>
            <w:shd w:val="clear" w:color="auto" w:fill="auto"/>
            <w:noWrap/>
            <w:vAlign w:val="center"/>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2222" w:type="dxa"/>
            <w:tcBorders>
              <w:top w:val="nil"/>
              <w:left w:val="nil"/>
              <w:bottom w:val="nil"/>
              <w:right w:val="nil"/>
            </w:tcBorders>
            <w:shd w:val="clear" w:color="auto" w:fill="auto"/>
            <w:noWrap/>
            <w:vAlign w:val="center"/>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627" w:type="dxa"/>
            <w:tcBorders>
              <w:top w:val="nil"/>
              <w:left w:val="nil"/>
              <w:bottom w:val="nil"/>
              <w:right w:val="nil"/>
            </w:tcBorders>
            <w:shd w:val="clear" w:color="auto" w:fill="auto"/>
            <w:noWrap/>
            <w:vAlign w:val="center"/>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680" w:type="dxa"/>
            <w:tcBorders>
              <w:top w:val="nil"/>
              <w:left w:val="nil"/>
              <w:bottom w:val="nil"/>
              <w:right w:val="nil"/>
            </w:tcBorders>
            <w:shd w:val="clear" w:color="auto" w:fill="auto"/>
            <w:noWrap/>
            <w:vAlign w:val="center"/>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760" w:type="dxa"/>
            <w:tcBorders>
              <w:top w:val="nil"/>
              <w:left w:val="nil"/>
              <w:bottom w:val="nil"/>
              <w:right w:val="nil"/>
            </w:tcBorders>
            <w:shd w:val="clear" w:color="auto" w:fill="auto"/>
            <w:noWrap/>
            <w:vAlign w:val="center"/>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653" w:type="dxa"/>
            <w:tcBorders>
              <w:top w:val="nil"/>
              <w:left w:val="nil"/>
              <w:bottom w:val="nil"/>
              <w:right w:val="nil"/>
            </w:tcBorders>
            <w:shd w:val="clear" w:color="auto" w:fill="auto"/>
            <w:noWrap/>
            <w:vAlign w:val="center"/>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654" w:type="dxa"/>
            <w:tcBorders>
              <w:top w:val="nil"/>
              <w:left w:val="nil"/>
              <w:bottom w:val="nil"/>
              <w:right w:val="nil"/>
            </w:tcBorders>
            <w:shd w:val="clear" w:color="auto" w:fill="auto"/>
            <w:noWrap/>
            <w:vAlign w:val="center"/>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702" w:type="dxa"/>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公开03表</w:t>
            </w:r>
          </w:p>
        </w:tc>
      </w:tr>
      <w:tr>
        <w:tblPrEx>
          <w:tblCellMar>
            <w:top w:w="0" w:type="dxa"/>
            <w:left w:w="108" w:type="dxa"/>
            <w:bottom w:w="0" w:type="dxa"/>
            <w:right w:w="108" w:type="dxa"/>
          </w:tblCellMar>
        </w:tblPrEx>
        <w:trPr>
          <w:trHeight w:val="312" w:hRule="atLeast"/>
        </w:trPr>
        <w:tc>
          <w:tcPr>
            <w:tcW w:w="8971" w:type="dxa"/>
            <w:gridSpan w:val="8"/>
            <w:tcBorders>
              <w:top w:val="nil"/>
              <w:left w:val="nil"/>
              <w:bottom w:val="single" w:color="auto" w:sz="4" w:space="0"/>
              <w:right w:val="nil"/>
            </w:tcBorders>
            <w:shd w:val="clear" w:color="auto" w:fill="auto"/>
            <w:noWrap/>
            <w:vAlign w:val="center"/>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r>
              <w:rPr>
                <w:rFonts w:hint="eastAsia" w:ascii="宋体" w:hAnsi="宋体" w:eastAsia="宋体" w:cs="宋体"/>
                <w:color w:val="auto"/>
                <w:kern w:val="0"/>
                <w:sz w:val="20"/>
                <w:szCs w:val="20"/>
                <w:highlight w:val="none"/>
                <w:lang w:bidi="ar"/>
              </w:rPr>
              <w:t>部门：</w:t>
            </w:r>
            <w:r>
              <w:rPr>
                <w:rFonts w:hint="default" w:ascii="宋体" w:hAnsi="宋体" w:eastAsia="宋体" w:cs="宋体"/>
                <w:color w:val="auto"/>
                <w:sz w:val="20"/>
                <w:u w:color="auto"/>
              </w:rPr>
              <w:t>河池市生态环境局</w:t>
            </w:r>
          </w:p>
        </w:tc>
        <w:tc>
          <w:tcPr>
            <w:tcW w:w="1653" w:type="dxa"/>
            <w:tcBorders>
              <w:top w:val="nil"/>
              <w:left w:val="nil"/>
              <w:bottom w:val="single" w:color="auto" w:sz="4" w:space="0"/>
              <w:right w:val="nil"/>
            </w:tcBorders>
            <w:shd w:val="clear" w:color="auto" w:fill="auto"/>
            <w:noWrap/>
            <w:vAlign w:val="center"/>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654" w:type="dxa"/>
            <w:tcBorders>
              <w:top w:val="nil"/>
              <w:left w:val="nil"/>
              <w:bottom w:val="single" w:color="auto" w:sz="4" w:space="0"/>
              <w:right w:val="nil"/>
            </w:tcBorders>
            <w:shd w:val="clear" w:color="auto" w:fill="auto"/>
            <w:noWrap/>
            <w:vAlign w:val="center"/>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702" w:type="dxa"/>
            <w:tcBorders>
              <w:top w:val="nil"/>
              <w:left w:val="nil"/>
              <w:bottom w:val="single" w:color="auto" w:sz="4" w:space="0"/>
              <w:right w:val="nil"/>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金额单位：万元</w:t>
            </w:r>
          </w:p>
        </w:tc>
      </w:tr>
      <w:tr>
        <w:tblPrEx>
          <w:tblCellMar>
            <w:top w:w="0" w:type="dxa"/>
            <w:left w:w="108" w:type="dxa"/>
            <w:bottom w:w="0" w:type="dxa"/>
            <w:right w:w="108" w:type="dxa"/>
          </w:tblCellMar>
        </w:tblPrEx>
        <w:trPr>
          <w:trHeight w:val="322" w:hRule="atLeast"/>
        </w:trPr>
        <w:tc>
          <w:tcPr>
            <w:tcW w:w="3904"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项目</w:t>
            </w:r>
          </w:p>
        </w:tc>
        <w:tc>
          <w:tcPr>
            <w:tcW w:w="162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本年支出合计</w:t>
            </w:r>
          </w:p>
        </w:tc>
        <w:tc>
          <w:tcPr>
            <w:tcW w:w="16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基本支出</w:t>
            </w:r>
          </w:p>
        </w:tc>
        <w:tc>
          <w:tcPr>
            <w:tcW w:w="17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项目支出</w:t>
            </w:r>
          </w:p>
        </w:tc>
        <w:tc>
          <w:tcPr>
            <w:tcW w:w="165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上缴上级支出</w:t>
            </w:r>
          </w:p>
        </w:tc>
        <w:tc>
          <w:tcPr>
            <w:tcW w:w="165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经营支出</w:t>
            </w:r>
          </w:p>
        </w:tc>
        <w:tc>
          <w:tcPr>
            <w:tcW w:w="170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对附属单位补助支出</w:t>
            </w:r>
          </w:p>
        </w:tc>
      </w:tr>
      <w:tr>
        <w:tblPrEx>
          <w:tblCellMar>
            <w:top w:w="0" w:type="dxa"/>
            <w:left w:w="108" w:type="dxa"/>
            <w:bottom w:w="0" w:type="dxa"/>
            <w:right w:w="108" w:type="dxa"/>
          </w:tblCellMar>
        </w:tblPrEx>
        <w:trPr>
          <w:trHeight w:val="322" w:hRule="atLeast"/>
        </w:trPr>
        <w:tc>
          <w:tcPr>
            <w:tcW w:w="161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功能分类科目编码</w:t>
            </w:r>
          </w:p>
        </w:tc>
        <w:tc>
          <w:tcPr>
            <w:tcW w:w="2286"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科目名称</w:t>
            </w:r>
          </w:p>
        </w:tc>
        <w:tc>
          <w:tcPr>
            <w:tcW w:w="162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6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7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6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70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465" w:hRule="atLeast"/>
        </w:trPr>
        <w:tc>
          <w:tcPr>
            <w:tcW w:w="1618"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2286"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62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6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7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6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70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837" w:hRule="atLeast"/>
        </w:trPr>
        <w:tc>
          <w:tcPr>
            <w:tcW w:w="1618"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2286"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62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6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7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6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70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322" w:hRule="atLeast"/>
        </w:trPr>
        <w:tc>
          <w:tcPr>
            <w:tcW w:w="3904"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栏次</w:t>
            </w:r>
          </w:p>
        </w:tc>
        <w:tc>
          <w:tcPr>
            <w:tcW w:w="16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w:t>
            </w:r>
          </w:p>
        </w:tc>
        <w:tc>
          <w:tcPr>
            <w:tcW w:w="16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2</w:t>
            </w:r>
          </w:p>
        </w:tc>
        <w:tc>
          <w:tcPr>
            <w:tcW w:w="17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3</w:t>
            </w: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4</w:t>
            </w:r>
          </w:p>
        </w:tc>
        <w:tc>
          <w:tcPr>
            <w:tcW w:w="16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5</w:t>
            </w:r>
          </w:p>
        </w:tc>
        <w:tc>
          <w:tcPr>
            <w:tcW w:w="1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6</w:t>
            </w:r>
          </w:p>
        </w:tc>
      </w:tr>
      <w:tr>
        <w:tblPrEx>
          <w:tblCellMar>
            <w:top w:w="0" w:type="dxa"/>
            <w:left w:w="108" w:type="dxa"/>
            <w:bottom w:w="0" w:type="dxa"/>
            <w:right w:w="108" w:type="dxa"/>
          </w:tblCellMar>
        </w:tblPrEx>
        <w:trPr>
          <w:trHeight w:val="633" w:hRule="atLeast"/>
        </w:trPr>
        <w:tc>
          <w:tcPr>
            <w:tcW w:w="3904"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合计</w:t>
            </w: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b/>
                <w:bCs/>
                <w:color w:val="auto"/>
                <w:sz w:val="22"/>
                <w:szCs w:val="22"/>
                <w:highlight w:val="none"/>
              </w:rPr>
            </w:pPr>
            <w:r>
              <w:rPr>
                <w:rFonts w:hint="default" w:ascii="宋体" w:hAnsi="宋体" w:eastAsia="宋体" w:cs="宋体"/>
                <w:b/>
                <w:bCs/>
                <w:color w:val="auto"/>
                <w:sz w:val="22"/>
                <w:szCs w:val="22"/>
                <w:highlight w:val="none"/>
              </w:rPr>
              <w:t>7778.50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b/>
                <w:bCs/>
                <w:color w:val="auto"/>
                <w:sz w:val="22"/>
                <w:szCs w:val="22"/>
                <w:highlight w:val="none"/>
              </w:rPr>
            </w:pPr>
            <w:r>
              <w:rPr>
                <w:rFonts w:hint="default" w:ascii="宋体" w:hAnsi="宋体" w:eastAsia="宋体" w:cs="宋体"/>
                <w:b/>
                <w:bCs/>
                <w:color w:val="auto"/>
                <w:sz w:val="22"/>
                <w:szCs w:val="22"/>
                <w:highlight w:val="none"/>
              </w:rPr>
              <w:t>1296.36</w:t>
            </w:r>
          </w:p>
        </w:tc>
        <w:tc>
          <w:tcPr>
            <w:tcW w:w="1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6482.14</w:t>
            </w: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0.00</w:t>
            </w:r>
          </w:p>
        </w:tc>
        <w:tc>
          <w:tcPr>
            <w:tcW w:w="16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0.00</w:t>
            </w:r>
          </w:p>
        </w:tc>
        <w:tc>
          <w:tcPr>
            <w:tcW w:w="17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b/>
                <w:bCs/>
                <w:color w:val="auto"/>
                <w:sz w:val="22"/>
                <w:szCs w:val="22"/>
                <w:highlight w:val="none"/>
              </w:rPr>
            </w:pPr>
            <w:r>
              <w:rPr>
                <w:rFonts w:hint="default" w:ascii="宋体" w:hAnsi="宋体" w:eastAsia="宋体" w:cs="宋体"/>
                <w:b/>
                <w:bCs/>
                <w:color w:val="auto"/>
                <w:sz w:val="22"/>
                <w:szCs w:val="22"/>
                <w:highlight w:val="none"/>
              </w:rPr>
              <w:t>0.00</w:t>
            </w:r>
          </w:p>
        </w:tc>
      </w:tr>
      <w:tr>
        <w:tblPrEx>
          <w:tblCellMar>
            <w:top w:w="0" w:type="dxa"/>
            <w:left w:w="108" w:type="dxa"/>
            <w:bottom w:w="0" w:type="dxa"/>
            <w:right w:w="108" w:type="dxa"/>
          </w:tblCellMar>
        </w:tblPrEx>
        <w:trPr>
          <w:trHeight w:val="322" w:hRule="atLeast"/>
        </w:trPr>
        <w:tc>
          <w:tcPr>
            <w:tcW w:w="161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2011301</w:t>
            </w:r>
          </w:p>
        </w:tc>
        <w:tc>
          <w:tcPr>
            <w:tcW w:w="228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行政运行</w:t>
            </w: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1.34</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1.34</w:t>
            </w:r>
          </w:p>
        </w:tc>
        <w:tc>
          <w:tcPr>
            <w:tcW w:w="1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16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7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22" w:hRule="atLeast"/>
        </w:trPr>
        <w:tc>
          <w:tcPr>
            <w:tcW w:w="161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2019999</w:t>
            </w:r>
          </w:p>
        </w:tc>
        <w:tc>
          <w:tcPr>
            <w:tcW w:w="228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其他一般公共服务支出</w:t>
            </w: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9.87</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1.20</w:t>
            </w:r>
          </w:p>
        </w:tc>
        <w:tc>
          <w:tcPr>
            <w:tcW w:w="1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8.67</w:t>
            </w: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16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7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22" w:hRule="atLeast"/>
        </w:trPr>
        <w:tc>
          <w:tcPr>
            <w:tcW w:w="161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2080505</w:t>
            </w:r>
          </w:p>
        </w:tc>
        <w:tc>
          <w:tcPr>
            <w:tcW w:w="228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机关事业单位基本养老保险缴费支出</w:t>
            </w: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127.07</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127.07</w:t>
            </w:r>
          </w:p>
        </w:tc>
        <w:tc>
          <w:tcPr>
            <w:tcW w:w="1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16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7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22" w:hRule="atLeast"/>
        </w:trPr>
        <w:tc>
          <w:tcPr>
            <w:tcW w:w="161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2089999</w:t>
            </w:r>
          </w:p>
        </w:tc>
        <w:tc>
          <w:tcPr>
            <w:tcW w:w="228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其他社会保障和就业支出</w:t>
            </w: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0.50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0.50</w:t>
            </w:r>
          </w:p>
        </w:tc>
        <w:tc>
          <w:tcPr>
            <w:tcW w:w="1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16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7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22" w:hRule="atLeast"/>
        </w:trPr>
        <w:tc>
          <w:tcPr>
            <w:tcW w:w="161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2101101</w:t>
            </w:r>
          </w:p>
        </w:tc>
        <w:tc>
          <w:tcPr>
            <w:tcW w:w="228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行政单位医疗</w:t>
            </w: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53.40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53.40</w:t>
            </w:r>
          </w:p>
        </w:tc>
        <w:tc>
          <w:tcPr>
            <w:tcW w:w="1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16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7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22" w:hRule="atLeast"/>
        </w:trPr>
        <w:tc>
          <w:tcPr>
            <w:tcW w:w="161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2101103</w:t>
            </w:r>
          </w:p>
        </w:tc>
        <w:tc>
          <w:tcPr>
            <w:tcW w:w="228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公务员医疗补助</w:t>
            </w: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31.77</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31.77</w:t>
            </w:r>
          </w:p>
        </w:tc>
        <w:tc>
          <w:tcPr>
            <w:tcW w:w="1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16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7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22" w:hRule="atLeast"/>
        </w:trPr>
        <w:tc>
          <w:tcPr>
            <w:tcW w:w="161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2110101</w:t>
            </w:r>
          </w:p>
        </w:tc>
        <w:tc>
          <w:tcPr>
            <w:tcW w:w="228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行政运行</w:t>
            </w: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985.78</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985.78</w:t>
            </w:r>
          </w:p>
        </w:tc>
        <w:tc>
          <w:tcPr>
            <w:tcW w:w="1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16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7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22" w:hRule="atLeast"/>
        </w:trPr>
        <w:tc>
          <w:tcPr>
            <w:tcW w:w="161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2110102</w:t>
            </w:r>
          </w:p>
        </w:tc>
        <w:tc>
          <w:tcPr>
            <w:tcW w:w="228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一般行政管理事务</w:t>
            </w: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29.85</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1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29.85</w:t>
            </w: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16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7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22" w:hRule="atLeast"/>
        </w:trPr>
        <w:tc>
          <w:tcPr>
            <w:tcW w:w="161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2110104</w:t>
            </w:r>
          </w:p>
        </w:tc>
        <w:tc>
          <w:tcPr>
            <w:tcW w:w="228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生态环境保护宣传</w:t>
            </w: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5.00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1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5.00</w:t>
            </w: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16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7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22" w:hRule="atLeast"/>
        </w:trPr>
        <w:tc>
          <w:tcPr>
            <w:tcW w:w="161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2110199</w:t>
            </w:r>
          </w:p>
        </w:tc>
        <w:tc>
          <w:tcPr>
            <w:tcW w:w="228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其他环境保护管理事务支出</w:t>
            </w: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30.00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1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30.00</w:t>
            </w: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16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7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22" w:hRule="atLeast"/>
        </w:trPr>
        <w:tc>
          <w:tcPr>
            <w:tcW w:w="161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2110204</w:t>
            </w:r>
          </w:p>
        </w:tc>
        <w:tc>
          <w:tcPr>
            <w:tcW w:w="228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核与辐射安全监督</w:t>
            </w: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0.46</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1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0.46</w:t>
            </w: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16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7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22" w:hRule="atLeast"/>
        </w:trPr>
        <w:tc>
          <w:tcPr>
            <w:tcW w:w="161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2110299</w:t>
            </w:r>
          </w:p>
        </w:tc>
        <w:tc>
          <w:tcPr>
            <w:tcW w:w="228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其他环境监测与监察支出</w:t>
            </w: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445.47</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1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445.47</w:t>
            </w: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16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7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22" w:hRule="atLeast"/>
        </w:trPr>
        <w:tc>
          <w:tcPr>
            <w:tcW w:w="161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2110301</w:t>
            </w:r>
          </w:p>
        </w:tc>
        <w:tc>
          <w:tcPr>
            <w:tcW w:w="228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大气</w:t>
            </w: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224.70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1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224.70</w:t>
            </w: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16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7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22" w:hRule="atLeast"/>
        </w:trPr>
        <w:tc>
          <w:tcPr>
            <w:tcW w:w="161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2110302</w:t>
            </w:r>
          </w:p>
        </w:tc>
        <w:tc>
          <w:tcPr>
            <w:tcW w:w="228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水体</w:t>
            </w: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1069.71</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1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1069.71</w:t>
            </w: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16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7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22" w:hRule="atLeast"/>
        </w:trPr>
        <w:tc>
          <w:tcPr>
            <w:tcW w:w="161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2110307</w:t>
            </w:r>
          </w:p>
        </w:tc>
        <w:tc>
          <w:tcPr>
            <w:tcW w:w="228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土壤</w:t>
            </w: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903.45</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1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903.45</w:t>
            </w: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16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7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22" w:hRule="atLeast"/>
        </w:trPr>
        <w:tc>
          <w:tcPr>
            <w:tcW w:w="161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2110399</w:t>
            </w:r>
          </w:p>
        </w:tc>
        <w:tc>
          <w:tcPr>
            <w:tcW w:w="228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其他污染防治支出</w:t>
            </w: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125.73</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1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125.73</w:t>
            </w: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16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7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22" w:hRule="atLeast"/>
        </w:trPr>
        <w:tc>
          <w:tcPr>
            <w:tcW w:w="161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2111101</w:t>
            </w:r>
          </w:p>
        </w:tc>
        <w:tc>
          <w:tcPr>
            <w:tcW w:w="228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生态环境监测与信息</w:t>
            </w: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4.93</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1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4.93</w:t>
            </w: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16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7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22" w:hRule="atLeast"/>
        </w:trPr>
        <w:tc>
          <w:tcPr>
            <w:tcW w:w="161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2111102</w:t>
            </w:r>
          </w:p>
        </w:tc>
        <w:tc>
          <w:tcPr>
            <w:tcW w:w="228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生态环境执法监察</w:t>
            </w: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11.34</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1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11.34</w:t>
            </w: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16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7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22" w:hRule="atLeast"/>
        </w:trPr>
        <w:tc>
          <w:tcPr>
            <w:tcW w:w="161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2111199</w:t>
            </w:r>
          </w:p>
        </w:tc>
        <w:tc>
          <w:tcPr>
            <w:tcW w:w="228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其他污染减排支出</w:t>
            </w: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3618.96</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1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3618.96</w:t>
            </w: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16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7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22" w:hRule="atLeast"/>
        </w:trPr>
        <w:tc>
          <w:tcPr>
            <w:tcW w:w="161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2119999</w:t>
            </w:r>
          </w:p>
        </w:tc>
        <w:tc>
          <w:tcPr>
            <w:tcW w:w="228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其他节能环保支出</w:t>
            </w: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3.85</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1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3.85</w:t>
            </w: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16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7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22" w:hRule="atLeast"/>
        </w:trPr>
        <w:tc>
          <w:tcPr>
            <w:tcW w:w="161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2210201</w:t>
            </w:r>
          </w:p>
        </w:tc>
        <w:tc>
          <w:tcPr>
            <w:tcW w:w="228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住房公积金</w:t>
            </w: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95.30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95.30</w:t>
            </w:r>
          </w:p>
        </w:tc>
        <w:tc>
          <w:tcPr>
            <w:tcW w:w="1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16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17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22" w:hRule="atLeast"/>
        </w:trPr>
        <w:tc>
          <w:tcPr>
            <w:tcW w:w="13980" w:type="dxa"/>
            <w:gridSpan w:val="11"/>
            <w:tcBorders>
              <w:top w:val="single" w:color="auto" w:sz="4" w:space="0"/>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注：本表反映部门本年度各项支出情况。</w:t>
            </w:r>
          </w:p>
        </w:tc>
      </w:tr>
    </w:tbl>
    <w:p>
      <w:pPr>
        <w:rPr>
          <w:rFonts w:ascii="仿宋" w:hAnsi="仿宋" w:eastAsia="仿宋" w:cs="仿宋"/>
          <w:color w:val="auto"/>
          <w:sz w:val="24"/>
          <w:highlight w:val="none"/>
        </w:rPr>
      </w:pPr>
      <w:r>
        <w:rPr>
          <w:rFonts w:ascii="仿宋" w:hAnsi="仿宋" w:eastAsia="仿宋" w:cs="仿宋"/>
          <w:color w:val="auto"/>
          <w:sz w:val="24"/>
          <w:highlight w:val="none"/>
        </w:rPr>
        <w:br w:type="page"/>
      </w:r>
    </w:p>
    <w:p>
      <w:pPr>
        <w:jc w:val="center"/>
        <w:rPr>
          <w:rFonts w:ascii="仿宋" w:hAnsi="仿宋" w:eastAsia="仿宋" w:cs="仿宋"/>
          <w:color w:val="auto"/>
          <w:sz w:val="24"/>
          <w:highlight w:val="none"/>
        </w:rPr>
      </w:pPr>
    </w:p>
    <w:p>
      <w:pPr>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表四：财政拨款收入支出决算总表</w:t>
      </w:r>
    </w:p>
    <w:p>
      <w:pPr>
        <w:jc w:val="left"/>
        <w:rPr>
          <w:rFonts w:hint="eastAsia" w:ascii="仿宋" w:hAnsi="仿宋" w:eastAsia="仿宋" w:cs="仿宋"/>
          <w:color w:val="auto"/>
          <w:sz w:val="24"/>
          <w:highlight w:val="none"/>
        </w:rPr>
      </w:pPr>
    </w:p>
    <w:tbl>
      <w:tblPr>
        <w:tblStyle w:val="6"/>
        <w:tblW w:w="4966" w:type="pct"/>
        <w:tblInd w:w="0" w:type="dxa"/>
        <w:tblLayout w:type="fixed"/>
        <w:tblCellMar>
          <w:top w:w="0" w:type="dxa"/>
          <w:left w:w="108" w:type="dxa"/>
          <w:bottom w:w="0" w:type="dxa"/>
          <w:right w:w="108" w:type="dxa"/>
        </w:tblCellMar>
      </w:tblPr>
      <w:tblGrid>
        <w:gridCol w:w="2214"/>
        <w:gridCol w:w="785"/>
        <w:gridCol w:w="1307"/>
        <w:gridCol w:w="2360"/>
        <w:gridCol w:w="853"/>
        <w:gridCol w:w="1088"/>
        <w:gridCol w:w="1773"/>
        <w:gridCol w:w="1803"/>
        <w:gridCol w:w="1894"/>
      </w:tblGrid>
      <w:tr>
        <w:tblPrEx>
          <w:tblCellMar>
            <w:top w:w="0" w:type="dxa"/>
            <w:left w:w="108" w:type="dxa"/>
            <w:bottom w:w="0" w:type="dxa"/>
            <w:right w:w="108" w:type="dxa"/>
          </w:tblCellMar>
        </w:tblPrEx>
        <w:trPr>
          <w:trHeight w:val="520" w:hRule="atLeast"/>
        </w:trPr>
        <w:tc>
          <w:tcPr>
            <w:tcW w:w="5000" w:type="pct"/>
            <w:gridSpan w:val="9"/>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color w:val="auto"/>
                <w:sz w:val="30"/>
                <w:szCs w:val="30"/>
                <w:highlight w:val="none"/>
              </w:rPr>
            </w:pPr>
            <w:r>
              <w:rPr>
                <w:rFonts w:hint="eastAsia" w:ascii="宋体" w:hAnsi="宋体" w:eastAsia="宋体" w:cs="宋体"/>
                <w:color w:val="auto"/>
                <w:kern w:val="0"/>
                <w:sz w:val="32"/>
                <w:szCs w:val="32"/>
                <w:highlight w:val="none"/>
                <w:lang w:bidi="ar"/>
              </w:rPr>
              <w:t>财政拨款收入支出决算总表</w:t>
            </w:r>
          </w:p>
        </w:tc>
      </w:tr>
      <w:tr>
        <w:tblPrEx>
          <w:tblCellMar>
            <w:top w:w="0" w:type="dxa"/>
            <w:left w:w="108" w:type="dxa"/>
            <w:bottom w:w="0" w:type="dxa"/>
            <w:right w:w="108" w:type="dxa"/>
          </w:tblCellMar>
        </w:tblPrEx>
        <w:trPr>
          <w:trHeight w:val="260" w:hRule="atLeast"/>
        </w:trPr>
        <w:tc>
          <w:tcPr>
            <w:tcW w:w="786" w:type="pct"/>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279" w:type="pct"/>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464" w:type="pct"/>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838" w:type="pct"/>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302" w:type="pct"/>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386" w:type="pct"/>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629" w:type="pct"/>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640" w:type="pct"/>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672" w:type="pct"/>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公开04表</w:t>
            </w:r>
          </w:p>
        </w:tc>
      </w:tr>
      <w:tr>
        <w:tblPrEx>
          <w:tblCellMar>
            <w:top w:w="0" w:type="dxa"/>
            <w:left w:w="108" w:type="dxa"/>
            <w:bottom w:w="0" w:type="dxa"/>
            <w:right w:w="108" w:type="dxa"/>
          </w:tblCellMar>
        </w:tblPrEx>
        <w:trPr>
          <w:trHeight w:val="260" w:hRule="atLeast"/>
        </w:trPr>
        <w:tc>
          <w:tcPr>
            <w:tcW w:w="3056" w:type="pct"/>
            <w:gridSpan w:val="6"/>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r>
              <w:rPr>
                <w:rFonts w:hint="eastAsia" w:ascii="宋体" w:hAnsi="宋体" w:eastAsia="宋体" w:cs="宋体"/>
                <w:color w:val="auto"/>
                <w:kern w:val="0"/>
                <w:sz w:val="20"/>
                <w:szCs w:val="20"/>
                <w:highlight w:val="none"/>
                <w:lang w:bidi="ar"/>
              </w:rPr>
              <w:t>部门：</w:t>
            </w:r>
            <w:r>
              <w:rPr>
                <w:rFonts w:hint="default" w:ascii="宋体" w:hAnsi="宋体" w:eastAsia="宋体" w:cs="宋体"/>
                <w:color w:val="auto"/>
                <w:sz w:val="20"/>
                <w:u w:color="auto"/>
              </w:rPr>
              <w:t>河池市生态环境局</w:t>
            </w:r>
          </w:p>
        </w:tc>
        <w:tc>
          <w:tcPr>
            <w:tcW w:w="629" w:type="pct"/>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640" w:type="pct"/>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672" w:type="pct"/>
            <w:tcBorders>
              <w:top w:val="nil"/>
              <w:left w:val="nil"/>
              <w:bottom w:val="single" w:color="auto" w:sz="4" w:space="0"/>
              <w:right w:val="nil"/>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金额单位：万元</w:t>
            </w:r>
          </w:p>
        </w:tc>
      </w:tr>
      <w:tr>
        <w:tblPrEx>
          <w:tblCellMar>
            <w:top w:w="0" w:type="dxa"/>
            <w:left w:w="108" w:type="dxa"/>
            <w:bottom w:w="0" w:type="dxa"/>
            <w:right w:w="108" w:type="dxa"/>
          </w:tblCellMar>
        </w:tblPrEx>
        <w:trPr>
          <w:trHeight w:val="268" w:hRule="atLeast"/>
        </w:trPr>
        <w:tc>
          <w:tcPr>
            <w:tcW w:w="1529"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收     入</w:t>
            </w:r>
          </w:p>
        </w:tc>
        <w:tc>
          <w:tcPr>
            <w:tcW w:w="3470" w:type="pct"/>
            <w:gridSpan w:val="6"/>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支     出</w:t>
            </w:r>
          </w:p>
        </w:tc>
      </w:tr>
      <w:tr>
        <w:tblPrEx>
          <w:tblCellMar>
            <w:top w:w="0" w:type="dxa"/>
            <w:left w:w="108" w:type="dxa"/>
            <w:bottom w:w="0" w:type="dxa"/>
            <w:right w:w="108" w:type="dxa"/>
          </w:tblCellMar>
        </w:tblPrEx>
        <w:trPr>
          <w:trHeight w:val="312" w:hRule="atLeast"/>
        </w:trPr>
        <w:tc>
          <w:tcPr>
            <w:tcW w:w="78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项目</w:t>
            </w:r>
          </w:p>
        </w:tc>
        <w:tc>
          <w:tcPr>
            <w:tcW w:w="27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行次</w:t>
            </w:r>
          </w:p>
        </w:tc>
        <w:tc>
          <w:tcPr>
            <w:tcW w:w="46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金额</w:t>
            </w:r>
          </w:p>
        </w:tc>
        <w:tc>
          <w:tcPr>
            <w:tcW w:w="83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项目</w:t>
            </w:r>
          </w:p>
        </w:tc>
        <w:tc>
          <w:tcPr>
            <w:tcW w:w="30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行次</w:t>
            </w:r>
          </w:p>
        </w:tc>
        <w:tc>
          <w:tcPr>
            <w:tcW w:w="386"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合计</w:t>
            </w:r>
          </w:p>
        </w:tc>
        <w:tc>
          <w:tcPr>
            <w:tcW w:w="62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一般公共预算财政拨款</w:t>
            </w:r>
          </w:p>
        </w:tc>
        <w:tc>
          <w:tcPr>
            <w:tcW w:w="64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政府性基金预算财政拨款</w:t>
            </w:r>
          </w:p>
        </w:tc>
        <w:tc>
          <w:tcPr>
            <w:tcW w:w="67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国有资本经营预算财政拨款</w:t>
            </w:r>
          </w:p>
        </w:tc>
      </w:tr>
      <w:tr>
        <w:tblPrEx>
          <w:tblCellMar>
            <w:top w:w="0" w:type="dxa"/>
            <w:left w:w="108" w:type="dxa"/>
            <w:bottom w:w="0" w:type="dxa"/>
            <w:right w:w="108" w:type="dxa"/>
          </w:tblCellMar>
        </w:tblPrEx>
        <w:trPr>
          <w:trHeight w:val="536" w:hRule="atLeast"/>
        </w:trPr>
        <w:tc>
          <w:tcPr>
            <w:tcW w:w="78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279"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46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83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30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386"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629"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64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67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栏次</w:t>
            </w: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栏次</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2</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3</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4</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5</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一、一般公共预算财政拨款</w:t>
            </w: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7652.50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一、一般公共服务支出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33</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11.21</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11.21</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二、政府性基金预算财政拨款</w:t>
            </w: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二、外交支出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34</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三、国有资本经营预算财政拨款</w:t>
            </w: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三、国防支出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35</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4</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四、公共安全支出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36</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5</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五、教育支出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37</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6</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六、科学技术支出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38</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7</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七、文化旅游体育与传媒支出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39</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8</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八、社会保障和就业支出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40</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127.57</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127.57</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9</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九、卫生健康支出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41</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85.17</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85.17</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10</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十、节能环保支出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42</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7459.25</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7459.25</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11</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十一、城乡社区支出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43</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12</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十二、农林水支出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44</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13</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十三、交通运输支出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45</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14</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十四、资源勘探工业信息等支出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46</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15</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十五、商业服务业等支出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47</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16</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十六、金融支出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48</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17</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十七、援助其他地区支出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49</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18</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十八、自然资源海洋气象等支出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50</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19</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十九、住房保障支出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51</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95.30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95.30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20</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二十、粮油物资储备支出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52</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21</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二十一、国有资本经营预算支出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53</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22</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二十二、灾害防治及应急管理支出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54</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23</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二十三、其他支出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55</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24</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二十四、债务还本支出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56</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25</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二十五、债务付息支出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57</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26</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二十六、抗疫特别国债安排的支出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58</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本年收入合计</w:t>
            </w: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27</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7652.50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本年支出合计</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59</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7778.50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7778.50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年初财政拨款结转和结余</w:t>
            </w: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28</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126.00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年末财政拨款结转和结余</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60</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 xml:space="preserve">  一般公共预算财政拨款</w:t>
            </w: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29</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126.00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61</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 xml:space="preserve">  政府性基金预算财政拨款</w:t>
            </w: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30</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62</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 xml:space="preserve">  国有资本经营预算财政拨款</w:t>
            </w: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31</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63</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总计</w:t>
            </w: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32</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7778.50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总计</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64</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7778.50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7778.50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4327" w:type="pct"/>
            <w:gridSpan w:val="8"/>
            <w:tcBorders>
              <w:top w:val="single" w:color="auto" w:sz="4" w:space="0"/>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注：本表反映部门本年度一般公共预算财政拨款、政府性基金预算财政拨款和国有资本经营预算财政拨款的总收支和年末结转结余情况。</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kern w:val="0"/>
                <w:sz w:val="22"/>
                <w:szCs w:val="22"/>
                <w:highlight w:val="none"/>
                <w:lang w:bidi="ar"/>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kern w:val="0"/>
                <w:sz w:val="22"/>
                <w:szCs w:val="22"/>
                <w:highlight w:val="none"/>
                <w:lang w:bidi="ar"/>
              </w:rPr>
            </w:pPr>
          </w:p>
        </w:tc>
        <w:tc>
          <w:tcPr>
            <w:tcW w:w="672" w:type="pct"/>
            <w:tcBorders>
              <w:top w:val="single" w:color="auto" w:sz="4" w:space="0"/>
              <w:left w:val="nil"/>
              <w:bottom w:val="nil"/>
              <w:right w:val="nil"/>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auto"/>
                <w:sz w:val="20"/>
                <w:szCs w:val="20"/>
                <w:highlight w:val="none"/>
              </w:rPr>
            </w:pPr>
          </w:p>
        </w:tc>
      </w:tr>
    </w:tbl>
    <w:p>
      <w:pPr>
        <w:jc w:val="left"/>
        <w:rPr>
          <w:rFonts w:ascii="仿宋" w:hAnsi="仿宋" w:eastAsia="仿宋" w:cs="仿宋"/>
          <w:color w:val="auto"/>
          <w:sz w:val="24"/>
          <w:highlight w:val="none"/>
        </w:rPr>
      </w:pPr>
    </w:p>
    <w:p>
      <w:pPr>
        <w:rPr>
          <w:rFonts w:ascii="仿宋" w:hAnsi="仿宋" w:eastAsia="仿宋" w:cs="仿宋"/>
          <w:color w:val="auto"/>
          <w:sz w:val="24"/>
          <w:highlight w:val="none"/>
        </w:rPr>
      </w:pPr>
      <w:r>
        <w:rPr>
          <w:rFonts w:ascii="仿宋" w:hAnsi="仿宋" w:eastAsia="仿宋" w:cs="仿宋"/>
          <w:color w:val="auto"/>
          <w:sz w:val="24"/>
          <w:highlight w:val="none"/>
        </w:rPr>
        <w:br w:type="page"/>
      </w:r>
    </w:p>
    <w:p>
      <w:pPr>
        <w:jc w:val="left"/>
        <w:rPr>
          <w:rFonts w:ascii="仿宋" w:hAnsi="仿宋" w:eastAsia="仿宋" w:cs="仿宋"/>
          <w:color w:val="auto"/>
          <w:sz w:val="24"/>
          <w:highlight w:val="none"/>
        </w:rPr>
      </w:pPr>
    </w:p>
    <w:p>
      <w:pPr>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表五：一般公共预算财政拨款支出决算表</w:t>
      </w:r>
    </w:p>
    <w:p>
      <w:pPr>
        <w:jc w:val="left"/>
        <w:rPr>
          <w:rFonts w:hint="eastAsia" w:ascii="仿宋" w:hAnsi="仿宋" w:eastAsia="仿宋" w:cs="仿宋"/>
          <w:color w:val="auto"/>
          <w:sz w:val="24"/>
          <w:highlight w:val="none"/>
        </w:rPr>
      </w:pPr>
    </w:p>
    <w:tbl>
      <w:tblPr>
        <w:tblStyle w:val="6"/>
        <w:tblW w:w="13980" w:type="dxa"/>
        <w:tblInd w:w="96" w:type="dxa"/>
        <w:tblLayout w:type="fixed"/>
        <w:tblCellMar>
          <w:top w:w="0" w:type="dxa"/>
          <w:left w:w="108" w:type="dxa"/>
          <w:bottom w:w="0" w:type="dxa"/>
          <w:right w:w="108" w:type="dxa"/>
        </w:tblCellMar>
      </w:tblPr>
      <w:tblGrid>
        <w:gridCol w:w="2011"/>
        <w:gridCol w:w="272"/>
        <w:gridCol w:w="238"/>
        <w:gridCol w:w="238"/>
        <w:gridCol w:w="2052"/>
        <w:gridCol w:w="3173"/>
        <w:gridCol w:w="3107"/>
        <w:gridCol w:w="2889"/>
      </w:tblGrid>
      <w:tr>
        <w:tblPrEx>
          <w:tblCellMar>
            <w:top w:w="0" w:type="dxa"/>
            <w:left w:w="108" w:type="dxa"/>
            <w:bottom w:w="0" w:type="dxa"/>
            <w:right w:w="108" w:type="dxa"/>
          </w:tblCellMar>
        </w:tblPrEx>
        <w:trPr>
          <w:trHeight w:val="693" w:hRule="atLeast"/>
        </w:trPr>
        <w:tc>
          <w:tcPr>
            <w:tcW w:w="13980" w:type="dxa"/>
            <w:gridSpan w:val="8"/>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color w:val="auto"/>
                <w:sz w:val="30"/>
                <w:szCs w:val="30"/>
                <w:highlight w:val="none"/>
              </w:rPr>
            </w:pPr>
            <w:r>
              <w:rPr>
                <w:rFonts w:hint="eastAsia" w:ascii="宋体" w:hAnsi="宋体" w:eastAsia="宋体" w:cs="宋体"/>
                <w:color w:val="auto"/>
                <w:kern w:val="0"/>
                <w:sz w:val="32"/>
                <w:szCs w:val="32"/>
                <w:highlight w:val="none"/>
                <w:lang w:bidi="ar"/>
              </w:rPr>
              <w:t>一般公共预算财政拨款支出决算表</w:t>
            </w:r>
          </w:p>
        </w:tc>
      </w:tr>
      <w:tr>
        <w:tblPrEx>
          <w:tblCellMar>
            <w:top w:w="0" w:type="dxa"/>
            <w:left w:w="108" w:type="dxa"/>
            <w:bottom w:w="0" w:type="dxa"/>
            <w:right w:w="108" w:type="dxa"/>
          </w:tblCellMar>
        </w:tblPrEx>
        <w:trPr>
          <w:trHeight w:val="346" w:hRule="atLeast"/>
        </w:trPr>
        <w:tc>
          <w:tcPr>
            <w:tcW w:w="2283" w:type="dxa"/>
            <w:gridSpan w:val="2"/>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238"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238"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2052"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3173"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3107"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2889" w:type="dxa"/>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公开05表</w:t>
            </w:r>
          </w:p>
        </w:tc>
      </w:tr>
      <w:tr>
        <w:tblPrEx>
          <w:tblCellMar>
            <w:top w:w="0" w:type="dxa"/>
            <w:left w:w="108" w:type="dxa"/>
            <w:bottom w:w="0" w:type="dxa"/>
            <w:right w:w="108" w:type="dxa"/>
          </w:tblCellMar>
        </w:tblPrEx>
        <w:trPr>
          <w:trHeight w:val="346" w:hRule="atLeast"/>
        </w:trPr>
        <w:tc>
          <w:tcPr>
            <w:tcW w:w="7984" w:type="dxa"/>
            <w:gridSpan w:val="6"/>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r>
              <w:rPr>
                <w:rFonts w:hint="eastAsia" w:ascii="宋体" w:hAnsi="宋体" w:eastAsia="宋体" w:cs="宋体"/>
                <w:color w:val="auto"/>
                <w:kern w:val="0"/>
                <w:sz w:val="20"/>
                <w:szCs w:val="20"/>
                <w:highlight w:val="none"/>
                <w:lang w:bidi="ar"/>
              </w:rPr>
              <w:t>部门：</w:t>
            </w:r>
            <w:r>
              <w:rPr>
                <w:rFonts w:hint="default" w:ascii="宋体" w:hAnsi="宋体" w:eastAsia="宋体" w:cs="宋体"/>
                <w:color w:val="auto"/>
                <w:sz w:val="20"/>
                <w:u w:color="auto"/>
              </w:rPr>
              <w:t>河池市生态环境局</w:t>
            </w:r>
          </w:p>
        </w:tc>
        <w:tc>
          <w:tcPr>
            <w:tcW w:w="3107" w:type="dxa"/>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2889" w:type="dxa"/>
            <w:tcBorders>
              <w:top w:val="nil"/>
              <w:left w:val="nil"/>
              <w:bottom w:val="single" w:color="auto" w:sz="4" w:space="0"/>
              <w:right w:val="nil"/>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金额单位：万元</w:t>
            </w:r>
          </w:p>
        </w:tc>
      </w:tr>
      <w:tr>
        <w:tblPrEx>
          <w:tblCellMar>
            <w:top w:w="0" w:type="dxa"/>
            <w:left w:w="108" w:type="dxa"/>
            <w:bottom w:w="0" w:type="dxa"/>
            <w:right w:w="108" w:type="dxa"/>
          </w:tblCellMar>
        </w:tblPrEx>
        <w:trPr>
          <w:trHeight w:val="358" w:hRule="atLeast"/>
        </w:trPr>
        <w:tc>
          <w:tcPr>
            <w:tcW w:w="4811"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项目</w:t>
            </w:r>
          </w:p>
        </w:tc>
        <w:tc>
          <w:tcPr>
            <w:tcW w:w="916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本年支出</w:t>
            </w:r>
          </w:p>
        </w:tc>
      </w:tr>
      <w:tr>
        <w:tblPrEx>
          <w:tblCellMar>
            <w:top w:w="0" w:type="dxa"/>
            <w:left w:w="108" w:type="dxa"/>
            <w:bottom w:w="0" w:type="dxa"/>
            <w:right w:w="108" w:type="dxa"/>
          </w:tblCellMar>
        </w:tblPrEx>
        <w:trPr>
          <w:trHeight w:val="353" w:hRule="atLeast"/>
        </w:trPr>
        <w:tc>
          <w:tcPr>
            <w:tcW w:w="201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功能分类科目编码</w:t>
            </w:r>
          </w:p>
        </w:tc>
        <w:tc>
          <w:tcPr>
            <w:tcW w:w="2800" w:type="dxa"/>
            <w:gridSpan w:val="4"/>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科目名称</w:t>
            </w:r>
          </w:p>
        </w:tc>
        <w:tc>
          <w:tcPr>
            <w:tcW w:w="317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小计</w:t>
            </w:r>
          </w:p>
        </w:tc>
        <w:tc>
          <w:tcPr>
            <w:tcW w:w="310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基本支出</w:t>
            </w:r>
          </w:p>
        </w:tc>
        <w:tc>
          <w:tcPr>
            <w:tcW w:w="288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项目支出</w:t>
            </w:r>
          </w:p>
        </w:tc>
      </w:tr>
      <w:tr>
        <w:tblPrEx>
          <w:tblCellMar>
            <w:top w:w="0" w:type="dxa"/>
            <w:left w:w="108" w:type="dxa"/>
            <w:bottom w:w="0" w:type="dxa"/>
            <w:right w:w="108" w:type="dxa"/>
          </w:tblCellMar>
        </w:tblPrEx>
        <w:trPr>
          <w:trHeight w:val="319" w:hRule="atLeast"/>
        </w:trPr>
        <w:tc>
          <w:tcPr>
            <w:tcW w:w="201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2800" w:type="dxa"/>
            <w:gridSpan w:val="4"/>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317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31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288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353" w:hRule="atLeast"/>
        </w:trPr>
        <w:tc>
          <w:tcPr>
            <w:tcW w:w="201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2800" w:type="dxa"/>
            <w:gridSpan w:val="4"/>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317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31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288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358" w:hRule="atLeast"/>
        </w:trPr>
        <w:tc>
          <w:tcPr>
            <w:tcW w:w="4811"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栏次</w:t>
            </w:r>
          </w:p>
        </w:tc>
        <w:tc>
          <w:tcPr>
            <w:tcW w:w="3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w:t>
            </w:r>
          </w:p>
        </w:tc>
        <w:tc>
          <w:tcPr>
            <w:tcW w:w="3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2</w:t>
            </w:r>
          </w:p>
        </w:tc>
        <w:tc>
          <w:tcPr>
            <w:tcW w:w="28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3</w:t>
            </w:r>
          </w:p>
        </w:tc>
      </w:tr>
      <w:tr>
        <w:tblPrEx>
          <w:tblCellMar>
            <w:top w:w="0" w:type="dxa"/>
            <w:left w:w="108" w:type="dxa"/>
            <w:bottom w:w="0" w:type="dxa"/>
            <w:right w:w="108" w:type="dxa"/>
          </w:tblCellMar>
        </w:tblPrEx>
        <w:trPr>
          <w:trHeight w:val="358" w:hRule="atLeast"/>
        </w:trPr>
        <w:tc>
          <w:tcPr>
            <w:tcW w:w="4811"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合计</w:t>
            </w:r>
          </w:p>
        </w:tc>
        <w:tc>
          <w:tcPr>
            <w:tcW w:w="3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b/>
                <w:bCs/>
                <w:color w:val="auto"/>
                <w:sz w:val="22"/>
                <w:szCs w:val="22"/>
                <w:highlight w:val="none"/>
              </w:rPr>
            </w:pPr>
            <w:r>
              <w:rPr>
                <w:rFonts w:hint="default" w:ascii="宋体" w:hAnsi="宋体" w:eastAsia="宋体" w:cs="宋体"/>
                <w:b/>
                <w:bCs/>
                <w:color w:val="auto"/>
                <w:sz w:val="22"/>
                <w:szCs w:val="22"/>
                <w:highlight w:val="none"/>
              </w:rPr>
              <w:t>7778.50</w:t>
            </w:r>
          </w:p>
        </w:tc>
        <w:tc>
          <w:tcPr>
            <w:tcW w:w="3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1296.36</w:t>
            </w:r>
          </w:p>
        </w:tc>
        <w:tc>
          <w:tcPr>
            <w:tcW w:w="28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6482.14</w:t>
            </w:r>
          </w:p>
        </w:tc>
      </w:tr>
      <w:tr>
        <w:tblPrEx>
          <w:tblCellMar>
            <w:top w:w="0" w:type="dxa"/>
            <w:left w:w="108" w:type="dxa"/>
            <w:bottom w:w="0" w:type="dxa"/>
            <w:right w:w="108" w:type="dxa"/>
          </w:tblCellMar>
        </w:tblPrEx>
        <w:trPr>
          <w:trHeight w:val="358" w:hRule="atLeast"/>
        </w:trPr>
        <w:tc>
          <w:tcPr>
            <w:tcW w:w="20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2011301</w:t>
            </w:r>
          </w:p>
        </w:tc>
        <w:tc>
          <w:tcPr>
            <w:tcW w:w="280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行政运行</w:t>
            </w:r>
          </w:p>
        </w:tc>
        <w:tc>
          <w:tcPr>
            <w:tcW w:w="3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1.34</w:t>
            </w:r>
          </w:p>
        </w:tc>
        <w:tc>
          <w:tcPr>
            <w:tcW w:w="3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1.34</w:t>
            </w:r>
          </w:p>
        </w:tc>
        <w:tc>
          <w:tcPr>
            <w:tcW w:w="28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58" w:hRule="atLeast"/>
        </w:trPr>
        <w:tc>
          <w:tcPr>
            <w:tcW w:w="20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2019999</w:t>
            </w:r>
          </w:p>
        </w:tc>
        <w:tc>
          <w:tcPr>
            <w:tcW w:w="280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其他一般公共服务支出</w:t>
            </w:r>
          </w:p>
        </w:tc>
        <w:tc>
          <w:tcPr>
            <w:tcW w:w="3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9.87</w:t>
            </w:r>
          </w:p>
        </w:tc>
        <w:tc>
          <w:tcPr>
            <w:tcW w:w="3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1.20</w:t>
            </w:r>
          </w:p>
        </w:tc>
        <w:tc>
          <w:tcPr>
            <w:tcW w:w="28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8.67</w:t>
            </w:r>
          </w:p>
        </w:tc>
      </w:tr>
      <w:tr>
        <w:tblPrEx>
          <w:tblCellMar>
            <w:top w:w="0" w:type="dxa"/>
            <w:left w:w="108" w:type="dxa"/>
            <w:bottom w:w="0" w:type="dxa"/>
            <w:right w:w="108" w:type="dxa"/>
          </w:tblCellMar>
        </w:tblPrEx>
        <w:trPr>
          <w:trHeight w:val="358" w:hRule="atLeast"/>
        </w:trPr>
        <w:tc>
          <w:tcPr>
            <w:tcW w:w="20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2080505</w:t>
            </w:r>
          </w:p>
        </w:tc>
        <w:tc>
          <w:tcPr>
            <w:tcW w:w="280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机关事业单位基本养老保险缴费支出</w:t>
            </w:r>
          </w:p>
        </w:tc>
        <w:tc>
          <w:tcPr>
            <w:tcW w:w="3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127.07</w:t>
            </w:r>
          </w:p>
        </w:tc>
        <w:tc>
          <w:tcPr>
            <w:tcW w:w="3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127.07</w:t>
            </w:r>
          </w:p>
        </w:tc>
        <w:tc>
          <w:tcPr>
            <w:tcW w:w="28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58" w:hRule="atLeast"/>
        </w:trPr>
        <w:tc>
          <w:tcPr>
            <w:tcW w:w="20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2089999</w:t>
            </w:r>
          </w:p>
        </w:tc>
        <w:tc>
          <w:tcPr>
            <w:tcW w:w="280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其他社会保障和就业支出</w:t>
            </w:r>
          </w:p>
        </w:tc>
        <w:tc>
          <w:tcPr>
            <w:tcW w:w="3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0.50</w:t>
            </w:r>
          </w:p>
        </w:tc>
        <w:tc>
          <w:tcPr>
            <w:tcW w:w="3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0.50</w:t>
            </w:r>
          </w:p>
        </w:tc>
        <w:tc>
          <w:tcPr>
            <w:tcW w:w="28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58" w:hRule="atLeast"/>
        </w:trPr>
        <w:tc>
          <w:tcPr>
            <w:tcW w:w="20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2101101</w:t>
            </w:r>
          </w:p>
        </w:tc>
        <w:tc>
          <w:tcPr>
            <w:tcW w:w="280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行政单位医疗</w:t>
            </w:r>
          </w:p>
        </w:tc>
        <w:tc>
          <w:tcPr>
            <w:tcW w:w="3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53.40</w:t>
            </w:r>
          </w:p>
        </w:tc>
        <w:tc>
          <w:tcPr>
            <w:tcW w:w="3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53.40</w:t>
            </w:r>
          </w:p>
        </w:tc>
        <w:tc>
          <w:tcPr>
            <w:tcW w:w="28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58" w:hRule="atLeast"/>
        </w:trPr>
        <w:tc>
          <w:tcPr>
            <w:tcW w:w="20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2101103</w:t>
            </w:r>
          </w:p>
        </w:tc>
        <w:tc>
          <w:tcPr>
            <w:tcW w:w="280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公务员医疗补助</w:t>
            </w:r>
          </w:p>
        </w:tc>
        <w:tc>
          <w:tcPr>
            <w:tcW w:w="3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31.77</w:t>
            </w:r>
          </w:p>
        </w:tc>
        <w:tc>
          <w:tcPr>
            <w:tcW w:w="3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31.77</w:t>
            </w:r>
          </w:p>
        </w:tc>
        <w:tc>
          <w:tcPr>
            <w:tcW w:w="28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58" w:hRule="atLeast"/>
        </w:trPr>
        <w:tc>
          <w:tcPr>
            <w:tcW w:w="20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2110101</w:t>
            </w:r>
          </w:p>
        </w:tc>
        <w:tc>
          <w:tcPr>
            <w:tcW w:w="280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行政运行</w:t>
            </w:r>
          </w:p>
        </w:tc>
        <w:tc>
          <w:tcPr>
            <w:tcW w:w="3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985.78</w:t>
            </w:r>
          </w:p>
        </w:tc>
        <w:tc>
          <w:tcPr>
            <w:tcW w:w="3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985.78</w:t>
            </w:r>
          </w:p>
        </w:tc>
        <w:tc>
          <w:tcPr>
            <w:tcW w:w="28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58" w:hRule="atLeast"/>
        </w:trPr>
        <w:tc>
          <w:tcPr>
            <w:tcW w:w="20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2110102</w:t>
            </w:r>
          </w:p>
        </w:tc>
        <w:tc>
          <w:tcPr>
            <w:tcW w:w="280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一般行政管理事务</w:t>
            </w:r>
          </w:p>
        </w:tc>
        <w:tc>
          <w:tcPr>
            <w:tcW w:w="3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29.85</w:t>
            </w:r>
          </w:p>
        </w:tc>
        <w:tc>
          <w:tcPr>
            <w:tcW w:w="3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c>
          <w:tcPr>
            <w:tcW w:w="28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29.85</w:t>
            </w:r>
          </w:p>
        </w:tc>
      </w:tr>
      <w:tr>
        <w:tblPrEx>
          <w:tblCellMar>
            <w:top w:w="0" w:type="dxa"/>
            <w:left w:w="108" w:type="dxa"/>
            <w:bottom w:w="0" w:type="dxa"/>
            <w:right w:w="108" w:type="dxa"/>
          </w:tblCellMar>
        </w:tblPrEx>
        <w:trPr>
          <w:trHeight w:val="358" w:hRule="atLeast"/>
        </w:trPr>
        <w:tc>
          <w:tcPr>
            <w:tcW w:w="20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2110104</w:t>
            </w:r>
          </w:p>
        </w:tc>
        <w:tc>
          <w:tcPr>
            <w:tcW w:w="280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生态环境保护宣传</w:t>
            </w:r>
          </w:p>
        </w:tc>
        <w:tc>
          <w:tcPr>
            <w:tcW w:w="3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5.00</w:t>
            </w:r>
          </w:p>
        </w:tc>
        <w:tc>
          <w:tcPr>
            <w:tcW w:w="3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c>
          <w:tcPr>
            <w:tcW w:w="28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5.00</w:t>
            </w:r>
          </w:p>
        </w:tc>
      </w:tr>
      <w:tr>
        <w:tblPrEx>
          <w:tblCellMar>
            <w:top w:w="0" w:type="dxa"/>
            <w:left w:w="108" w:type="dxa"/>
            <w:bottom w:w="0" w:type="dxa"/>
            <w:right w:w="108" w:type="dxa"/>
          </w:tblCellMar>
        </w:tblPrEx>
        <w:trPr>
          <w:trHeight w:val="358" w:hRule="atLeast"/>
        </w:trPr>
        <w:tc>
          <w:tcPr>
            <w:tcW w:w="20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2110199</w:t>
            </w:r>
          </w:p>
        </w:tc>
        <w:tc>
          <w:tcPr>
            <w:tcW w:w="280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其他环境保护管理事务支出</w:t>
            </w:r>
          </w:p>
        </w:tc>
        <w:tc>
          <w:tcPr>
            <w:tcW w:w="3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30.00</w:t>
            </w:r>
          </w:p>
        </w:tc>
        <w:tc>
          <w:tcPr>
            <w:tcW w:w="3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c>
          <w:tcPr>
            <w:tcW w:w="28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30.00</w:t>
            </w:r>
          </w:p>
        </w:tc>
      </w:tr>
      <w:tr>
        <w:tblPrEx>
          <w:tblCellMar>
            <w:top w:w="0" w:type="dxa"/>
            <w:left w:w="108" w:type="dxa"/>
            <w:bottom w:w="0" w:type="dxa"/>
            <w:right w:w="108" w:type="dxa"/>
          </w:tblCellMar>
        </w:tblPrEx>
        <w:trPr>
          <w:trHeight w:val="358" w:hRule="atLeast"/>
        </w:trPr>
        <w:tc>
          <w:tcPr>
            <w:tcW w:w="20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2110204</w:t>
            </w:r>
          </w:p>
        </w:tc>
        <w:tc>
          <w:tcPr>
            <w:tcW w:w="280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核与辐射安全监督</w:t>
            </w:r>
          </w:p>
        </w:tc>
        <w:tc>
          <w:tcPr>
            <w:tcW w:w="3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0.46</w:t>
            </w:r>
          </w:p>
        </w:tc>
        <w:tc>
          <w:tcPr>
            <w:tcW w:w="3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c>
          <w:tcPr>
            <w:tcW w:w="28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0.46</w:t>
            </w:r>
          </w:p>
        </w:tc>
      </w:tr>
      <w:tr>
        <w:tblPrEx>
          <w:tblCellMar>
            <w:top w:w="0" w:type="dxa"/>
            <w:left w:w="108" w:type="dxa"/>
            <w:bottom w:w="0" w:type="dxa"/>
            <w:right w:w="108" w:type="dxa"/>
          </w:tblCellMar>
        </w:tblPrEx>
        <w:trPr>
          <w:trHeight w:val="358" w:hRule="atLeast"/>
        </w:trPr>
        <w:tc>
          <w:tcPr>
            <w:tcW w:w="20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2110299</w:t>
            </w:r>
          </w:p>
        </w:tc>
        <w:tc>
          <w:tcPr>
            <w:tcW w:w="280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其他环境监测与监察支出</w:t>
            </w:r>
          </w:p>
        </w:tc>
        <w:tc>
          <w:tcPr>
            <w:tcW w:w="3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445.47</w:t>
            </w:r>
          </w:p>
        </w:tc>
        <w:tc>
          <w:tcPr>
            <w:tcW w:w="3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c>
          <w:tcPr>
            <w:tcW w:w="28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445.47</w:t>
            </w:r>
          </w:p>
        </w:tc>
      </w:tr>
      <w:tr>
        <w:tblPrEx>
          <w:tblCellMar>
            <w:top w:w="0" w:type="dxa"/>
            <w:left w:w="108" w:type="dxa"/>
            <w:bottom w:w="0" w:type="dxa"/>
            <w:right w:w="108" w:type="dxa"/>
          </w:tblCellMar>
        </w:tblPrEx>
        <w:trPr>
          <w:trHeight w:val="358" w:hRule="atLeast"/>
        </w:trPr>
        <w:tc>
          <w:tcPr>
            <w:tcW w:w="20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2110301</w:t>
            </w:r>
          </w:p>
        </w:tc>
        <w:tc>
          <w:tcPr>
            <w:tcW w:w="280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大气</w:t>
            </w:r>
          </w:p>
        </w:tc>
        <w:tc>
          <w:tcPr>
            <w:tcW w:w="3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224.70</w:t>
            </w:r>
          </w:p>
        </w:tc>
        <w:tc>
          <w:tcPr>
            <w:tcW w:w="3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c>
          <w:tcPr>
            <w:tcW w:w="28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224.70</w:t>
            </w:r>
          </w:p>
        </w:tc>
      </w:tr>
      <w:tr>
        <w:tblPrEx>
          <w:tblCellMar>
            <w:top w:w="0" w:type="dxa"/>
            <w:left w:w="108" w:type="dxa"/>
            <w:bottom w:w="0" w:type="dxa"/>
            <w:right w:w="108" w:type="dxa"/>
          </w:tblCellMar>
        </w:tblPrEx>
        <w:trPr>
          <w:trHeight w:val="358" w:hRule="atLeast"/>
        </w:trPr>
        <w:tc>
          <w:tcPr>
            <w:tcW w:w="20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2110302</w:t>
            </w:r>
          </w:p>
        </w:tc>
        <w:tc>
          <w:tcPr>
            <w:tcW w:w="280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水体</w:t>
            </w:r>
          </w:p>
        </w:tc>
        <w:tc>
          <w:tcPr>
            <w:tcW w:w="3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1069.71</w:t>
            </w:r>
          </w:p>
        </w:tc>
        <w:tc>
          <w:tcPr>
            <w:tcW w:w="3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c>
          <w:tcPr>
            <w:tcW w:w="28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1069.71</w:t>
            </w:r>
          </w:p>
        </w:tc>
      </w:tr>
      <w:tr>
        <w:tblPrEx>
          <w:tblCellMar>
            <w:top w:w="0" w:type="dxa"/>
            <w:left w:w="108" w:type="dxa"/>
            <w:bottom w:w="0" w:type="dxa"/>
            <w:right w:w="108" w:type="dxa"/>
          </w:tblCellMar>
        </w:tblPrEx>
        <w:trPr>
          <w:trHeight w:val="358" w:hRule="atLeast"/>
        </w:trPr>
        <w:tc>
          <w:tcPr>
            <w:tcW w:w="20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2110307</w:t>
            </w:r>
          </w:p>
        </w:tc>
        <w:tc>
          <w:tcPr>
            <w:tcW w:w="280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土壤</w:t>
            </w:r>
          </w:p>
        </w:tc>
        <w:tc>
          <w:tcPr>
            <w:tcW w:w="3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903.45</w:t>
            </w:r>
          </w:p>
        </w:tc>
        <w:tc>
          <w:tcPr>
            <w:tcW w:w="3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c>
          <w:tcPr>
            <w:tcW w:w="28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903.45</w:t>
            </w:r>
          </w:p>
        </w:tc>
      </w:tr>
      <w:tr>
        <w:tblPrEx>
          <w:tblCellMar>
            <w:top w:w="0" w:type="dxa"/>
            <w:left w:w="108" w:type="dxa"/>
            <w:bottom w:w="0" w:type="dxa"/>
            <w:right w:w="108" w:type="dxa"/>
          </w:tblCellMar>
        </w:tblPrEx>
        <w:trPr>
          <w:trHeight w:val="358" w:hRule="atLeast"/>
        </w:trPr>
        <w:tc>
          <w:tcPr>
            <w:tcW w:w="20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2110399</w:t>
            </w:r>
          </w:p>
        </w:tc>
        <w:tc>
          <w:tcPr>
            <w:tcW w:w="280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其他污染防治支出</w:t>
            </w:r>
          </w:p>
        </w:tc>
        <w:tc>
          <w:tcPr>
            <w:tcW w:w="3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125.73</w:t>
            </w:r>
          </w:p>
        </w:tc>
        <w:tc>
          <w:tcPr>
            <w:tcW w:w="3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c>
          <w:tcPr>
            <w:tcW w:w="28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125.73</w:t>
            </w:r>
          </w:p>
        </w:tc>
      </w:tr>
      <w:tr>
        <w:tblPrEx>
          <w:tblCellMar>
            <w:top w:w="0" w:type="dxa"/>
            <w:left w:w="108" w:type="dxa"/>
            <w:bottom w:w="0" w:type="dxa"/>
            <w:right w:w="108" w:type="dxa"/>
          </w:tblCellMar>
        </w:tblPrEx>
        <w:trPr>
          <w:trHeight w:val="358" w:hRule="atLeast"/>
        </w:trPr>
        <w:tc>
          <w:tcPr>
            <w:tcW w:w="20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2111101</w:t>
            </w:r>
          </w:p>
        </w:tc>
        <w:tc>
          <w:tcPr>
            <w:tcW w:w="280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生态环境监测与信息</w:t>
            </w:r>
          </w:p>
        </w:tc>
        <w:tc>
          <w:tcPr>
            <w:tcW w:w="3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4.93</w:t>
            </w:r>
          </w:p>
        </w:tc>
        <w:tc>
          <w:tcPr>
            <w:tcW w:w="3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c>
          <w:tcPr>
            <w:tcW w:w="28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4.93</w:t>
            </w:r>
          </w:p>
        </w:tc>
      </w:tr>
      <w:tr>
        <w:tblPrEx>
          <w:tblCellMar>
            <w:top w:w="0" w:type="dxa"/>
            <w:left w:w="108" w:type="dxa"/>
            <w:bottom w:w="0" w:type="dxa"/>
            <w:right w:w="108" w:type="dxa"/>
          </w:tblCellMar>
        </w:tblPrEx>
        <w:trPr>
          <w:trHeight w:val="358" w:hRule="atLeast"/>
        </w:trPr>
        <w:tc>
          <w:tcPr>
            <w:tcW w:w="20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2111102</w:t>
            </w:r>
          </w:p>
        </w:tc>
        <w:tc>
          <w:tcPr>
            <w:tcW w:w="280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生态环境执法监察</w:t>
            </w:r>
          </w:p>
        </w:tc>
        <w:tc>
          <w:tcPr>
            <w:tcW w:w="3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11.34</w:t>
            </w:r>
          </w:p>
        </w:tc>
        <w:tc>
          <w:tcPr>
            <w:tcW w:w="3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c>
          <w:tcPr>
            <w:tcW w:w="28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11.34</w:t>
            </w:r>
          </w:p>
        </w:tc>
      </w:tr>
      <w:tr>
        <w:tblPrEx>
          <w:tblCellMar>
            <w:top w:w="0" w:type="dxa"/>
            <w:left w:w="108" w:type="dxa"/>
            <w:bottom w:w="0" w:type="dxa"/>
            <w:right w:w="108" w:type="dxa"/>
          </w:tblCellMar>
        </w:tblPrEx>
        <w:trPr>
          <w:trHeight w:val="358" w:hRule="atLeast"/>
        </w:trPr>
        <w:tc>
          <w:tcPr>
            <w:tcW w:w="20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2111199</w:t>
            </w:r>
          </w:p>
        </w:tc>
        <w:tc>
          <w:tcPr>
            <w:tcW w:w="280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其他污染减排支出</w:t>
            </w:r>
          </w:p>
        </w:tc>
        <w:tc>
          <w:tcPr>
            <w:tcW w:w="3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3618.96</w:t>
            </w:r>
          </w:p>
        </w:tc>
        <w:tc>
          <w:tcPr>
            <w:tcW w:w="3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c>
          <w:tcPr>
            <w:tcW w:w="28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3618.96</w:t>
            </w:r>
          </w:p>
        </w:tc>
      </w:tr>
      <w:tr>
        <w:tblPrEx>
          <w:tblCellMar>
            <w:top w:w="0" w:type="dxa"/>
            <w:left w:w="108" w:type="dxa"/>
            <w:bottom w:w="0" w:type="dxa"/>
            <w:right w:w="108" w:type="dxa"/>
          </w:tblCellMar>
        </w:tblPrEx>
        <w:trPr>
          <w:trHeight w:val="358" w:hRule="atLeast"/>
        </w:trPr>
        <w:tc>
          <w:tcPr>
            <w:tcW w:w="20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2119999</w:t>
            </w:r>
          </w:p>
        </w:tc>
        <w:tc>
          <w:tcPr>
            <w:tcW w:w="280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其他节能环保支出</w:t>
            </w:r>
          </w:p>
        </w:tc>
        <w:tc>
          <w:tcPr>
            <w:tcW w:w="3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3.85</w:t>
            </w:r>
          </w:p>
        </w:tc>
        <w:tc>
          <w:tcPr>
            <w:tcW w:w="3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c>
          <w:tcPr>
            <w:tcW w:w="28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3.85</w:t>
            </w:r>
          </w:p>
        </w:tc>
      </w:tr>
      <w:tr>
        <w:tblPrEx>
          <w:tblCellMar>
            <w:top w:w="0" w:type="dxa"/>
            <w:left w:w="108" w:type="dxa"/>
            <w:bottom w:w="0" w:type="dxa"/>
            <w:right w:w="108" w:type="dxa"/>
          </w:tblCellMar>
        </w:tblPrEx>
        <w:trPr>
          <w:trHeight w:val="358" w:hRule="atLeast"/>
        </w:trPr>
        <w:tc>
          <w:tcPr>
            <w:tcW w:w="20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2210201</w:t>
            </w:r>
          </w:p>
        </w:tc>
        <w:tc>
          <w:tcPr>
            <w:tcW w:w="280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住房公积金</w:t>
            </w:r>
          </w:p>
        </w:tc>
        <w:tc>
          <w:tcPr>
            <w:tcW w:w="3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95.30</w:t>
            </w:r>
          </w:p>
        </w:tc>
        <w:tc>
          <w:tcPr>
            <w:tcW w:w="3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95.30</w:t>
            </w:r>
          </w:p>
        </w:tc>
        <w:tc>
          <w:tcPr>
            <w:tcW w:w="28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r>
      <w:tr>
        <w:tblPrEx>
          <w:tblCellMar>
            <w:top w:w="0" w:type="dxa"/>
            <w:left w:w="108" w:type="dxa"/>
            <w:bottom w:w="0" w:type="dxa"/>
            <w:right w:w="108" w:type="dxa"/>
          </w:tblCellMar>
        </w:tblPrEx>
        <w:trPr>
          <w:trHeight w:val="358" w:hRule="atLeast"/>
        </w:trPr>
        <w:tc>
          <w:tcPr>
            <w:tcW w:w="13980" w:type="dxa"/>
            <w:gridSpan w:val="8"/>
            <w:tcBorders>
              <w:top w:val="single" w:color="auto" w:sz="4" w:space="0"/>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注：本表反映部门本年度一般公共预算财政拨款支出情况。</w:t>
            </w:r>
          </w:p>
        </w:tc>
      </w:tr>
    </w:tbl>
    <w:p>
      <w:pPr>
        <w:rPr>
          <w:rFonts w:ascii="仿宋" w:hAnsi="仿宋" w:eastAsia="仿宋" w:cs="仿宋"/>
          <w:color w:val="auto"/>
          <w:sz w:val="24"/>
          <w:highlight w:val="none"/>
        </w:rPr>
      </w:pPr>
      <w:r>
        <w:rPr>
          <w:rFonts w:ascii="仿宋" w:hAnsi="仿宋" w:eastAsia="仿宋" w:cs="仿宋"/>
          <w:color w:val="auto"/>
          <w:sz w:val="24"/>
          <w:highlight w:val="none"/>
        </w:rPr>
        <w:br w:type="page"/>
      </w:r>
    </w:p>
    <w:p>
      <w:pPr>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表六：一般公共预算财政拨款基本支出决算表</w:t>
      </w:r>
    </w:p>
    <w:p>
      <w:pPr>
        <w:jc w:val="left"/>
        <w:rPr>
          <w:rFonts w:hint="eastAsia" w:ascii="仿宋" w:hAnsi="仿宋" w:eastAsia="仿宋" w:cs="仿宋"/>
          <w:color w:val="auto"/>
          <w:sz w:val="24"/>
          <w:highlight w:val="none"/>
        </w:rPr>
      </w:pPr>
    </w:p>
    <w:tbl>
      <w:tblPr>
        <w:tblStyle w:val="6"/>
        <w:tblW w:w="14000" w:type="dxa"/>
        <w:tblInd w:w="96" w:type="dxa"/>
        <w:tblLayout w:type="fixed"/>
        <w:tblCellMar>
          <w:top w:w="0" w:type="dxa"/>
          <w:left w:w="108" w:type="dxa"/>
          <w:bottom w:w="0" w:type="dxa"/>
          <w:right w:w="108" w:type="dxa"/>
        </w:tblCellMar>
      </w:tblPr>
      <w:tblGrid>
        <w:gridCol w:w="1107"/>
        <w:gridCol w:w="2371"/>
        <w:gridCol w:w="1106"/>
        <w:gridCol w:w="1280"/>
        <w:gridCol w:w="2347"/>
        <w:gridCol w:w="1160"/>
        <w:gridCol w:w="1173"/>
        <w:gridCol w:w="2147"/>
        <w:gridCol w:w="1309"/>
      </w:tblGrid>
      <w:tr>
        <w:tblPrEx>
          <w:tblCellMar>
            <w:top w:w="0" w:type="dxa"/>
            <w:left w:w="108" w:type="dxa"/>
            <w:bottom w:w="0" w:type="dxa"/>
            <w:right w:w="108" w:type="dxa"/>
          </w:tblCellMar>
        </w:tblPrEx>
        <w:trPr>
          <w:trHeight w:val="614" w:hRule="atLeast"/>
        </w:trPr>
        <w:tc>
          <w:tcPr>
            <w:tcW w:w="14000" w:type="dxa"/>
            <w:gridSpan w:val="9"/>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color w:val="auto"/>
                <w:sz w:val="30"/>
                <w:szCs w:val="30"/>
                <w:highlight w:val="none"/>
              </w:rPr>
            </w:pPr>
            <w:r>
              <w:rPr>
                <w:rFonts w:hint="eastAsia" w:ascii="宋体" w:hAnsi="宋体" w:eastAsia="宋体" w:cs="宋体"/>
                <w:color w:val="auto"/>
                <w:kern w:val="0"/>
                <w:sz w:val="32"/>
                <w:szCs w:val="32"/>
                <w:highlight w:val="none"/>
                <w:lang w:bidi="ar"/>
              </w:rPr>
              <w:t>一般公共预算财政拨款基本支出决算明细表</w:t>
            </w:r>
          </w:p>
        </w:tc>
      </w:tr>
      <w:tr>
        <w:tblPrEx>
          <w:tblCellMar>
            <w:top w:w="0" w:type="dxa"/>
            <w:left w:w="108" w:type="dxa"/>
            <w:bottom w:w="0" w:type="dxa"/>
            <w:right w:w="108" w:type="dxa"/>
          </w:tblCellMar>
        </w:tblPrEx>
        <w:trPr>
          <w:trHeight w:val="307" w:hRule="atLeast"/>
        </w:trPr>
        <w:tc>
          <w:tcPr>
            <w:tcW w:w="1107"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2371"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106"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280"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2347"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160"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173"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2147"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309" w:type="dxa"/>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公开06表</w:t>
            </w:r>
          </w:p>
        </w:tc>
      </w:tr>
      <w:tr>
        <w:tblPrEx>
          <w:tblCellMar>
            <w:top w:w="0" w:type="dxa"/>
            <w:left w:w="108" w:type="dxa"/>
            <w:bottom w:w="0" w:type="dxa"/>
            <w:right w:w="108" w:type="dxa"/>
          </w:tblCellMar>
        </w:tblPrEx>
        <w:trPr>
          <w:trHeight w:val="569" w:hRule="atLeast"/>
        </w:trPr>
        <w:tc>
          <w:tcPr>
            <w:tcW w:w="8211" w:type="dxa"/>
            <w:gridSpan w:val="5"/>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r>
              <w:rPr>
                <w:rFonts w:hint="eastAsia" w:ascii="宋体" w:hAnsi="宋体" w:eastAsia="宋体" w:cs="宋体"/>
                <w:color w:val="auto"/>
                <w:kern w:val="0"/>
                <w:sz w:val="20"/>
                <w:szCs w:val="20"/>
                <w:highlight w:val="none"/>
                <w:lang w:bidi="ar"/>
              </w:rPr>
              <w:t>部门：</w:t>
            </w:r>
            <w:r>
              <w:rPr>
                <w:rFonts w:hint="default" w:ascii="宋体" w:hAnsi="宋体" w:eastAsia="宋体" w:cs="宋体"/>
                <w:color w:val="auto"/>
                <w:sz w:val="20"/>
                <w:u w:color="auto"/>
              </w:rPr>
              <w:t>河池市生态环境局</w:t>
            </w:r>
          </w:p>
        </w:tc>
        <w:tc>
          <w:tcPr>
            <w:tcW w:w="1160" w:type="dxa"/>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173" w:type="dxa"/>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3456" w:type="dxa"/>
            <w:gridSpan w:val="2"/>
            <w:tcBorders>
              <w:top w:val="nil"/>
              <w:left w:val="nil"/>
              <w:bottom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金额单位：万元</w:t>
            </w:r>
          </w:p>
        </w:tc>
      </w:tr>
      <w:tr>
        <w:tblPrEx>
          <w:tblCellMar>
            <w:top w:w="0" w:type="dxa"/>
            <w:left w:w="108" w:type="dxa"/>
            <w:bottom w:w="0" w:type="dxa"/>
            <w:right w:w="108" w:type="dxa"/>
          </w:tblCellMar>
        </w:tblPrEx>
        <w:trPr>
          <w:trHeight w:val="319" w:hRule="atLeast"/>
        </w:trPr>
        <w:tc>
          <w:tcPr>
            <w:tcW w:w="4584"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人员经费</w:t>
            </w:r>
          </w:p>
        </w:tc>
        <w:tc>
          <w:tcPr>
            <w:tcW w:w="9416"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公用经费</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科目编码</w:t>
            </w:r>
          </w:p>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p>
        </w:tc>
        <w:tc>
          <w:tcPr>
            <w:tcW w:w="23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科目名称</w:t>
            </w:r>
          </w:p>
        </w:tc>
        <w:tc>
          <w:tcPr>
            <w:tcW w:w="110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决算数</w:t>
            </w:r>
          </w:p>
        </w:tc>
        <w:tc>
          <w:tcPr>
            <w:tcW w:w="12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科目编码</w:t>
            </w:r>
          </w:p>
        </w:tc>
        <w:tc>
          <w:tcPr>
            <w:tcW w:w="23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科目名称</w:t>
            </w:r>
          </w:p>
        </w:tc>
        <w:tc>
          <w:tcPr>
            <w:tcW w:w="11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决算数</w:t>
            </w:r>
          </w:p>
        </w:tc>
        <w:tc>
          <w:tcPr>
            <w:tcW w:w="117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科目编码</w:t>
            </w:r>
          </w:p>
        </w:tc>
        <w:tc>
          <w:tcPr>
            <w:tcW w:w="21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科目名称</w:t>
            </w:r>
          </w:p>
        </w:tc>
        <w:tc>
          <w:tcPr>
            <w:tcW w:w="130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决算数</w:t>
            </w:r>
          </w:p>
        </w:tc>
      </w:tr>
      <w:tr>
        <w:tblPrEx>
          <w:tblCellMar>
            <w:top w:w="0" w:type="dxa"/>
            <w:left w:w="108" w:type="dxa"/>
            <w:bottom w:w="0" w:type="dxa"/>
            <w:right w:w="108" w:type="dxa"/>
          </w:tblCellMar>
        </w:tblPrEx>
        <w:trPr>
          <w:trHeight w:val="1237" w:hRule="atLeast"/>
        </w:trPr>
        <w:tc>
          <w:tcPr>
            <w:tcW w:w="110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23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10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2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23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1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17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21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3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301</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工资福利支出</w:t>
            </w:r>
            <w:bookmarkStart w:id="0" w:name="OLE_LINK3"/>
            <w:bookmarkStart w:id="1" w:name="OLE_LINK4"/>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1165.28</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302</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商品和服务支出</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115.06</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307</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债务利息及费用支出</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30101</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基本工资</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289.20</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30201</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办公费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5.58</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30701</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国内债务付息</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30102</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津贴补贴</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260.75</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30202</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印刷费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30702</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国外债务付息</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30103</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奖金</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254.42</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30203</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咨询费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310</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资本性支出</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30106</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伙食补助费</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31.54</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30204</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手续费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31001</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房屋建筑物购建</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30107</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绩效工资</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13.57</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30205</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水费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0.15</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31002</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办公设备购置</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30108</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机关事业单位基本养老保险缴费</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127.07</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30206</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电费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3.35</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31003</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专用设备购置</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30109</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职业年金缴费</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30207</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邮电费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0.18</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31005</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基础设施建设</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30110</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职工基本医疗保险缴费</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50.62</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30208</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取暖费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31006</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大型修缮</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30111</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公务员医疗补助缴费</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39.37</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30209</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物业管理费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31007</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信息网络及软件购置更新</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30112</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其他社会保障缴费</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3.28</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30211</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差旅费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6.62</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31008</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物资储备</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30113</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住房公积金</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95.30</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30212</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因公出国（境）费用</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31009</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土地补偿</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30114</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医疗费</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30213</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维修（护）费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1.24</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31010</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安置补助</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30199</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其他工资福利支出</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0.16</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30214</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租赁费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15.57</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31011</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地上附着物和青苗补偿</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303</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对个人和家庭的补助</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16.02</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30215</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会议费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31012</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拆迁补偿</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30301</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离休费</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9.78</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30216</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培训费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4.37</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31013</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公务用车购置</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30302</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退休费</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30217</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公务接待费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2.42</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31019</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其他交通工具购置</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30303</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退职（役）费</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30218</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专用材料费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31021</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文物和陈列品购置</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30304</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抚恤金</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30224</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被装购置费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31022</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无形资产购置</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30305</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生活补助</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5.67</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30225</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专用燃料费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31099</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其他资本性支出</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30306</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救济费</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30226</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劳务费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5.48</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399</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其他支出</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30307</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医疗费补助</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30227</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委托业务费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39907</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国家赔偿费用支出</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30308</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助学金</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30228</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工会经费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16.97</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39908</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对民间非营利组织和群众性自治组织补贴</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30309</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奖励金</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30229</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福利费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39909</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经常性赠与</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30310</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个人农业生产补贴</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30231</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公务用车运行维护费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5.15</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39910</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资本性赠与</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30311</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代缴社会保险费</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30239</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其他交通费用</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46.73</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39999</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其他支出</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30399</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其他对个人和家庭的补助</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0.58</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30240</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税金及附加费用</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30299</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 xml:space="preserve">  其他商品和服务支出</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1.27</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人员经费合计</w:t>
            </w:r>
          </w:p>
          <w:bookmarkEnd w:id="0"/>
          <w:bookmarkEnd w:id="1"/>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color w:val="auto"/>
                <w:sz w:val="22"/>
                <w:szCs w:val="22"/>
                <w:highlight w:val="none"/>
              </w:rPr>
            </w:pP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1181.30</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公用经费合计</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highlight w:val="none"/>
              </w:rPr>
            </w:pPr>
            <w:r>
              <w:rPr>
                <w:rFonts w:hint="default" w:ascii="宋体" w:hAnsi="宋体" w:eastAsia="宋体" w:cs="宋体"/>
                <w:color w:val="auto"/>
                <w:kern w:val="0"/>
                <w:sz w:val="22"/>
                <w:szCs w:val="22"/>
                <w:highlight w:val="none"/>
                <w:lang w:bidi="ar"/>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115.06</w:t>
            </w:r>
          </w:p>
        </w:tc>
      </w:tr>
      <w:tr>
        <w:tblPrEx>
          <w:tblCellMar>
            <w:top w:w="0" w:type="dxa"/>
            <w:left w:w="108" w:type="dxa"/>
            <w:bottom w:w="0" w:type="dxa"/>
            <w:right w:w="108" w:type="dxa"/>
          </w:tblCellMar>
        </w:tblPrEx>
        <w:trPr>
          <w:trHeight w:val="319" w:hRule="atLeast"/>
        </w:trPr>
        <w:tc>
          <w:tcPr>
            <w:tcW w:w="14000" w:type="dxa"/>
            <w:gridSpan w:val="9"/>
            <w:tcBorders>
              <w:top w:val="single" w:color="auto" w:sz="4" w:space="0"/>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注：本表反映部门本年度一般公共预算财政拨款基本支出明细情况。</w:t>
            </w:r>
          </w:p>
        </w:tc>
      </w:tr>
    </w:tbl>
    <w:p>
      <w:pPr>
        <w:jc w:val="left"/>
        <w:rPr>
          <w:rFonts w:ascii="仿宋" w:hAnsi="仿宋" w:eastAsia="仿宋" w:cs="仿宋"/>
          <w:color w:val="auto"/>
          <w:sz w:val="24"/>
          <w:highlight w:val="none"/>
        </w:rPr>
      </w:pPr>
    </w:p>
    <w:p>
      <w:pPr>
        <w:rPr>
          <w:rFonts w:ascii="仿宋" w:hAnsi="仿宋" w:eastAsia="仿宋" w:cs="仿宋"/>
          <w:color w:val="auto"/>
          <w:sz w:val="24"/>
          <w:highlight w:val="none"/>
        </w:rPr>
      </w:pPr>
      <w:r>
        <w:rPr>
          <w:rFonts w:ascii="仿宋" w:hAnsi="仿宋" w:eastAsia="仿宋" w:cs="仿宋"/>
          <w:color w:val="auto"/>
          <w:sz w:val="24"/>
          <w:highlight w:val="none"/>
        </w:rPr>
        <w:br w:type="page"/>
      </w:r>
    </w:p>
    <w:p>
      <w:pPr>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表</w:t>
      </w:r>
      <w:r>
        <w:rPr>
          <w:rFonts w:hint="eastAsia" w:ascii="仿宋" w:hAnsi="仿宋" w:eastAsia="仿宋" w:cs="仿宋"/>
          <w:color w:val="auto"/>
          <w:sz w:val="24"/>
          <w:highlight w:val="none"/>
          <w:lang w:val="en-US" w:eastAsia="zh-CN"/>
        </w:rPr>
        <w:t>七</w:t>
      </w:r>
      <w:r>
        <w:rPr>
          <w:rFonts w:hint="eastAsia" w:ascii="仿宋" w:hAnsi="仿宋" w:eastAsia="仿宋" w:cs="仿宋"/>
          <w:color w:val="auto"/>
          <w:sz w:val="24"/>
          <w:highlight w:val="none"/>
        </w:rPr>
        <w:t>：政府性基金预算财政拨款收入支出决算表</w:t>
      </w:r>
    </w:p>
    <w:p>
      <w:pPr>
        <w:jc w:val="left"/>
        <w:rPr>
          <w:rFonts w:hint="eastAsia" w:ascii="仿宋" w:hAnsi="仿宋" w:eastAsia="仿宋" w:cs="仿宋"/>
          <w:color w:val="auto"/>
          <w:sz w:val="24"/>
          <w:highlight w:val="none"/>
        </w:rPr>
      </w:pPr>
    </w:p>
    <w:tbl>
      <w:tblPr>
        <w:tblStyle w:val="6"/>
        <w:tblW w:w="13982" w:type="dxa"/>
        <w:tblInd w:w="96" w:type="dxa"/>
        <w:tblLayout w:type="fixed"/>
        <w:tblCellMar>
          <w:top w:w="0" w:type="dxa"/>
          <w:left w:w="108" w:type="dxa"/>
          <w:bottom w:w="0" w:type="dxa"/>
          <w:right w:w="108" w:type="dxa"/>
        </w:tblCellMar>
      </w:tblPr>
      <w:tblGrid>
        <w:gridCol w:w="1297"/>
        <w:gridCol w:w="240"/>
        <w:gridCol w:w="236"/>
        <w:gridCol w:w="1625"/>
        <w:gridCol w:w="1973"/>
        <w:gridCol w:w="1653"/>
        <w:gridCol w:w="1600"/>
        <w:gridCol w:w="1680"/>
        <w:gridCol w:w="1728"/>
        <w:gridCol w:w="2"/>
        <w:gridCol w:w="1946"/>
        <w:gridCol w:w="2"/>
      </w:tblGrid>
      <w:tr>
        <w:tblPrEx>
          <w:tblCellMar>
            <w:top w:w="0" w:type="dxa"/>
            <w:left w:w="108" w:type="dxa"/>
            <w:bottom w:w="0" w:type="dxa"/>
            <w:right w:w="108" w:type="dxa"/>
          </w:tblCellMar>
        </w:tblPrEx>
        <w:trPr>
          <w:gridAfter w:val="1"/>
          <w:wAfter w:w="2" w:type="dxa"/>
          <w:trHeight w:val="536" w:hRule="atLeast"/>
        </w:trPr>
        <w:tc>
          <w:tcPr>
            <w:tcW w:w="13980" w:type="dxa"/>
            <w:gridSpan w:val="11"/>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color w:val="auto"/>
                <w:sz w:val="30"/>
                <w:szCs w:val="30"/>
                <w:highlight w:val="none"/>
              </w:rPr>
            </w:pPr>
            <w:r>
              <w:rPr>
                <w:rFonts w:hint="eastAsia" w:ascii="宋体" w:hAnsi="宋体" w:eastAsia="宋体" w:cs="宋体"/>
                <w:color w:val="auto"/>
                <w:kern w:val="0"/>
                <w:sz w:val="32"/>
                <w:szCs w:val="32"/>
                <w:highlight w:val="none"/>
                <w:lang w:bidi="ar"/>
              </w:rPr>
              <w:t>政府性基金预算财政拨款收入支出决算表</w:t>
            </w:r>
          </w:p>
        </w:tc>
      </w:tr>
      <w:tr>
        <w:tblPrEx>
          <w:tblCellMar>
            <w:top w:w="0" w:type="dxa"/>
            <w:left w:w="108" w:type="dxa"/>
            <w:bottom w:w="0" w:type="dxa"/>
            <w:right w:w="108" w:type="dxa"/>
          </w:tblCellMar>
        </w:tblPrEx>
        <w:trPr>
          <w:trHeight w:val="268" w:hRule="atLeast"/>
        </w:trPr>
        <w:tc>
          <w:tcPr>
            <w:tcW w:w="1297"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240"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236"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625"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973"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653"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600"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680"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730" w:type="dxa"/>
            <w:gridSpan w:val="2"/>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948" w:type="dxa"/>
            <w:gridSpan w:val="2"/>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公开08表</w:t>
            </w:r>
          </w:p>
        </w:tc>
      </w:tr>
      <w:tr>
        <w:tblPrEx>
          <w:tblCellMar>
            <w:top w:w="0" w:type="dxa"/>
            <w:left w:w="108" w:type="dxa"/>
            <w:bottom w:w="0" w:type="dxa"/>
            <w:right w:w="108" w:type="dxa"/>
          </w:tblCellMar>
        </w:tblPrEx>
        <w:trPr>
          <w:gridAfter w:val="1"/>
          <w:wAfter w:w="2" w:type="dxa"/>
          <w:trHeight w:val="268" w:hRule="atLeast"/>
        </w:trPr>
        <w:tc>
          <w:tcPr>
            <w:tcW w:w="8624" w:type="dxa"/>
            <w:gridSpan w:val="7"/>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r>
              <w:rPr>
                <w:rFonts w:hint="eastAsia" w:ascii="宋体" w:hAnsi="宋体" w:eastAsia="宋体" w:cs="宋体"/>
                <w:color w:val="auto"/>
                <w:kern w:val="0"/>
                <w:sz w:val="20"/>
                <w:szCs w:val="20"/>
                <w:highlight w:val="none"/>
                <w:lang w:bidi="ar"/>
              </w:rPr>
              <w:t>部门：</w:t>
            </w:r>
            <w:r>
              <w:rPr>
                <w:rFonts w:hint="default" w:ascii="宋体" w:hAnsi="宋体" w:eastAsia="宋体" w:cs="宋体"/>
                <w:color w:val="auto"/>
                <w:sz w:val="20"/>
                <w:u w:color="auto"/>
              </w:rPr>
              <w:t>河池市生态环境局</w:t>
            </w:r>
          </w:p>
        </w:tc>
        <w:tc>
          <w:tcPr>
            <w:tcW w:w="1680" w:type="dxa"/>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728" w:type="dxa"/>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948" w:type="dxa"/>
            <w:gridSpan w:val="2"/>
            <w:tcBorders>
              <w:top w:val="nil"/>
              <w:left w:val="nil"/>
              <w:bottom w:val="single" w:color="auto" w:sz="4" w:space="0"/>
              <w:right w:val="nil"/>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金额单位：万元</w:t>
            </w:r>
          </w:p>
        </w:tc>
      </w:tr>
      <w:tr>
        <w:tblPrEx>
          <w:tblCellMar>
            <w:top w:w="0" w:type="dxa"/>
            <w:left w:w="108" w:type="dxa"/>
            <w:bottom w:w="0" w:type="dxa"/>
            <w:right w:w="108" w:type="dxa"/>
          </w:tblCellMar>
        </w:tblPrEx>
        <w:trPr>
          <w:gridAfter w:val="1"/>
          <w:wAfter w:w="2" w:type="dxa"/>
          <w:trHeight w:val="277" w:hRule="atLeast"/>
        </w:trPr>
        <w:tc>
          <w:tcPr>
            <w:tcW w:w="3398"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项目</w:t>
            </w:r>
          </w:p>
        </w:tc>
        <w:tc>
          <w:tcPr>
            <w:tcW w:w="197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年初结转和结余</w:t>
            </w:r>
          </w:p>
        </w:tc>
        <w:tc>
          <w:tcPr>
            <w:tcW w:w="165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本年收入</w:t>
            </w:r>
          </w:p>
        </w:tc>
        <w:tc>
          <w:tcPr>
            <w:tcW w:w="500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本年支出</w:t>
            </w:r>
          </w:p>
        </w:tc>
        <w:tc>
          <w:tcPr>
            <w:tcW w:w="194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年末结转和结余</w:t>
            </w:r>
          </w:p>
        </w:tc>
      </w:tr>
      <w:tr>
        <w:tblPrEx>
          <w:tblCellMar>
            <w:top w:w="0" w:type="dxa"/>
            <w:left w:w="108" w:type="dxa"/>
            <w:bottom w:w="0" w:type="dxa"/>
            <w:right w:w="108" w:type="dxa"/>
          </w:tblCellMar>
        </w:tblPrEx>
        <w:trPr>
          <w:gridAfter w:val="1"/>
          <w:wAfter w:w="2" w:type="dxa"/>
          <w:trHeight w:val="312" w:hRule="atLeast"/>
        </w:trPr>
        <w:tc>
          <w:tcPr>
            <w:tcW w:w="153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功能分类科目编码</w:t>
            </w:r>
          </w:p>
        </w:tc>
        <w:tc>
          <w:tcPr>
            <w:tcW w:w="1861"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科目名称</w:t>
            </w:r>
          </w:p>
        </w:tc>
        <w:tc>
          <w:tcPr>
            <w:tcW w:w="197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6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小计</w:t>
            </w:r>
          </w:p>
        </w:tc>
        <w:tc>
          <w:tcPr>
            <w:tcW w:w="16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基本支出</w:t>
            </w:r>
          </w:p>
        </w:tc>
        <w:tc>
          <w:tcPr>
            <w:tcW w:w="172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项目支出</w:t>
            </w:r>
          </w:p>
        </w:tc>
        <w:tc>
          <w:tcPr>
            <w:tcW w:w="194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r>
      <w:tr>
        <w:tblPrEx>
          <w:tblCellMar>
            <w:top w:w="0" w:type="dxa"/>
            <w:left w:w="108" w:type="dxa"/>
            <w:bottom w:w="0" w:type="dxa"/>
            <w:right w:w="108" w:type="dxa"/>
          </w:tblCellMar>
        </w:tblPrEx>
        <w:trPr>
          <w:gridAfter w:val="1"/>
          <w:wAfter w:w="2" w:type="dxa"/>
          <w:trHeight w:val="312" w:hRule="atLeast"/>
        </w:trPr>
        <w:tc>
          <w:tcPr>
            <w:tcW w:w="1537"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861"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97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60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6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7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94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r>
      <w:tr>
        <w:tblPrEx>
          <w:tblCellMar>
            <w:top w:w="0" w:type="dxa"/>
            <w:left w:w="108" w:type="dxa"/>
            <w:bottom w:w="0" w:type="dxa"/>
            <w:right w:w="108" w:type="dxa"/>
          </w:tblCellMar>
        </w:tblPrEx>
        <w:trPr>
          <w:gridAfter w:val="1"/>
          <w:wAfter w:w="2" w:type="dxa"/>
          <w:trHeight w:val="312" w:hRule="atLeast"/>
        </w:trPr>
        <w:tc>
          <w:tcPr>
            <w:tcW w:w="1537"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861"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97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60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6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7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94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r>
      <w:tr>
        <w:tblPrEx>
          <w:tblCellMar>
            <w:top w:w="0" w:type="dxa"/>
            <w:left w:w="108" w:type="dxa"/>
            <w:bottom w:w="0" w:type="dxa"/>
            <w:right w:w="108" w:type="dxa"/>
          </w:tblCellMar>
        </w:tblPrEx>
        <w:trPr>
          <w:gridAfter w:val="1"/>
          <w:wAfter w:w="2" w:type="dxa"/>
          <w:trHeight w:val="277" w:hRule="atLeast"/>
        </w:trPr>
        <w:tc>
          <w:tcPr>
            <w:tcW w:w="3398"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栏次</w:t>
            </w:r>
          </w:p>
        </w:tc>
        <w:tc>
          <w:tcPr>
            <w:tcW w:w="19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w:t>
            </w: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2</w:t>
            </w:r>
          </w:p>
        </w:tc>
        <w:tc>
          <w:tcPr>
            <w:tcW w:w="16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3</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4</w:t>
            </w:r>
          </w:p>
        </w:tc>
        <w:tc>
          <w:tcPr>
            <w:tcW w:w="172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5</w:t>
            </w:r>
          </w:p>
        </w:tc>
        <w:tc>
          <w:tcPr>
            <w:tcW w:w="194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6</w:t>
            </w:r>
          </w:p>
        </w:tc>
      </w:tr>
      <w:tr>
        <w:tblPrEx>
          <w:tblCellMar>
            <w:top w:w="0" w:type="dxa"/>
            <w:left w:w="108" w:type="dxa"/>
            <w:bottom w:w="0" w:type="dxa"/>
            <w:right w:w="108" w:type="dxa"/>
          </w:tblCellMar>
        </w:tblPrEx>
        <w:trPr>
          <w:gridAfter w:val="1"/>
          <w:wAfter w:w="2" w:type="dxa"/>
          <w:trHeight w:val="277" w:hRule="atLeast"/>
        </w:trPr>
        <w:tc>
          <w:tcPr>
            <w:tcW w:w="3398"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合计</w:t>
            </w:r>
          </w:p>
        </w:tc>
        <w:tc>
          <w:tcPr>
            <w:tcW w:w="19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0.00</w:t>
            </w: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0.00</w:t>
            </w:r>
          </w:p>
        </w:tc>
        <w:tc>
          <w:tcPr>
            <w:tcW w:w="16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0.00</w:t>
            </w:r>
          </w:p>
        </w:tc>
        <w:tc>
          <w:tcPr>
            <w:tcW w:w="172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0.00</w:t>
            </w:r>
          </w:p>
        </w:tc>
        <w:tc>
          <w:tcPr>
            <w:tcW w:w="194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0.00</w:t>
            </w:r>
          </w:p>
        </w:tc>
      </w:tr>
      <w:tr>
        <w:tblPrEx>
          <w:tblCellMar>
            <w:top w:w="0" w:type="dxa"/>
            <w:left w:w="108" w:type="dxa"/>
            <w:bottom w:w="0" w:type="dxa"/>
            <w:right w:w="108" w:type="dxa"/>
          </w:tblCellMar>
        </w:tblPrEx>
        <w:trPr>
          <w:gridAfter w:val="1"/>
          <w:wAfter w:w="2" w:type="dxa"/>
          <w:trHeight w:val="277" w:hRule="atLeast"/>
        </w:trPr>
        <w:tc>
          <w:tcPr>
            <w:tcW w:w="153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auto"/>
                <w:sz w:val="22"/>
                <w:szCs w:val="22"/>
                <w:highlight w:val="none"/>
              </w:rPr>
            </w:pPr>
          </w:p>
        </w:tc>
        <w:tc>
          <w:tcPr>
            <w:tcW w:w="186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auto"/>
                <w:sz w:val="22"/>
                <w:szCs w:val="22"/>
                <w:highlight w:val="none"/>
              </w:rPr>
            </w:pPr>
          </w:p>
        </w:tc>
        <w:tc>
          <w:tcPr>
            <w:tcW w:w="19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p>
        </w:tc>
        <w:tc>
          <w:tcPr>
            <w:tcW w:w="16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p>
        </w:tc>
        <w:tc>
          <w:tcPr>
            <w:tcW w:w="172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p>
        </w:tc>
        <w:tc>
          <w:tcPr>
            <w:tcW w:w="194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p>
        </w:tc>
      </w:tr>
      <w:tr>
        <w:tblPrEx>
          <w:tblCellMar>
            <w:top w:w="0" w:type="dxa"/>
            <w:left w:w="108" w:type="dxa"/>
            <w:bottom w:w="0" w:type="dxa"/>
            <w:right w:w="108" w:type="dxa"/>
          </w:tblCellMar>
        </w:tblPrEx>
        <w:trPr>
          <w:gridAfter w:val="1"/>
          <w:wAfter w:w="2" w:type="dxa"/>
          <w:trHeight w:val="277" w:hRule="atLeast"/>
        </w:trPr>
        <w:tc>
          <w:tcPr>
            <w:tcW w:w="153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auto"/>
                <w:sz w:val="22"/>
                <w:szCs w:val="22"/>
                <w:highlight w:val="none"/>
              </w:rPr>
            </w:pPr>
          </w:p>
        </w:tc>
        <w:tc>
          <w:tcPr>
            <w:tcW w:w="186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auto"/>
                <w:sz w:val="22"/>
                <w:szCs w:val="22"/>
                <w:highlight w:val="none"/>
              </w:rPr>
            </w:pPr>
          </w:p>
        </w:tc>
        <w:tc>
          <w:tcPr>
            <w:tcW w:w="19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p>
        </w:tc>
        <w:tc>
          <w:tcPr>
            <w:tcW w:w="16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p>
        </w:tc>
        <w:tc>
          <w:tcPr>
            <w:tcW w:w="172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p>
        </w:tc>
        <w:tc>
          <w:tcPr>
            <w:tcW w:w="194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p>
        </w:tc>
      </w:tr>
      <w:tr>
        <w:tblPrEx>
          <w:tblCellMar>
            <w:top w:w="0" w:type="dxa"/>
            <w:left w:w="108" w:type="dxa"/>
            <w:bottom w:w="0" w:type="dxa"/>
            <w:right w:w="108" w:type="dxa"/>
          </w:tblCellMar>
        </w:tblPrEx>
        <w:trPr>
          <w:gridAfter w:val="1"/>
          <w:wAfter w:w="2" w:type="dxa"/>
          <w:trHeight w:val="277" w:hRule="atLeast"/>
        </w:trPr>
        <w:tc>
          <w:tcPr>
            <w:tcW w:w="153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auto"/>
                <w:sz w:val="22"/>
                <w:szCs w:val="22"/>
                <w:highlight w:val="none"/>
              </w:rPr>
            </w:pPr>
          </w:p>
        </w:tc>
        <w:tc>
          <w:tcPr>
            <w:tcW w:w="186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auto"/>
                <w:sz w:val="22"/>
                <w:szCs w:val="22"/>
                <w:highlight w:val="none"/>
              </w:rPr>
            </w:pPr>
          </w:p>
        </w:tc>
        <w:tc>
          <w:tcPr>
            <w:tcW w:w="19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p>
        </w:tc>
        <w:tc>
          <w:tcPr>
            <w:tcW w:w="16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p>
        </w:tc>
        <w:tc>
          <w:tcPr>
            <w:tcW w:w="172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p>
        </w:tc>
        <w:tc>
          <w:tcPr>
            <w:tcW w:w="194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p>
        </w:tc>
      </w:tr>
      <w:tr>
        <w:tblPrEx>
          <w:tblCellMar>
            <w:top w:w="0" w:type="dxa"/>
            <w:left w:w="108" w:type="dxa"/>
            <w:bottom w:w="0" w:type="dxa"/>
            <w:right w:w="108" w:type="dxa"/>
          </w:tblCellMar>
        </w:tblPrEx>
        <w:trPr>
          <w:gridAfter w:val="1"/>
          <w:wAfter w:w="2" w:type="dxa"/>
          <w:trHeight w:val="277" w:hRule="atLeast"/>
        </w:trPr>
        <w:tc>
          <w:tcPr>
            <w:tcW w:w="1537" w:type="dxa"/>
            <w:gridSpan w:val="2"/>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auto"/>
                <w:sz w:val="22"/>
                <w:szCs w:val="22"/>
                <w:highlight w:val="none"/>
              </w:rPr>
            </w:pPr>
          </w:p>
        </w:tc>
        <w:tc>
          <w:tcPr>
            <w:tcW w:w="1861" w:type="dxa"/>
            <w:gridSpan w:val="2"/>
            <w:tcBorders>
              <w:top w:val="single" w:color="auto" w:sz="4" w:space="0"/>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auto"/>
                <w:sz w:val="22"/>
                <w:szCs w:val="22"/>
                <w:highlight w:val="none"/>
              </w:rPr>
            </w:pPr>
          </w:p>
        </w:tc>
        <w:tc>
          <w:tcPr>
            <w:tcW w:w="1973"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p>
        </w:tc>
        <w:tc>
          <w:tcPr>
            <w:tcW w:w="1653"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p>
        </w:tc>
        <w:tc>
          <w:tcPr>
            <w:tcW w:w="1600"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p>
        </w:tc>
        <w:tc>
          <w:tcPr>
            <w:tcW w:w="1680"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p>
        </w:tc>
        <w:tc>
          <w:tcPr>
            <w:tcW w:w="1728"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p>
        </w:tc>
        <w:tc>
          <w:tcPr>
            <w:tcW w:w="1948" w:type="dxa"/>
            <w:gridSpan w:val="2"/>
            <w:tcBorders>
              <w:top w:val="single" w:color="auto" w:sz="4" w:space="0"/>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p>
        </w:tc>
      </w:tr>
      <w:tr>
        <w:tblPrEx>
          <w:tblCellMar>
            <w:top w:w="0" w:type="dxa"/>
            <w:left w:w="108" w:type="dxa"/>
            <w:bottom w:w="0" w:type="dxa"/>
            <w:right w:w="108" w:type="dxa"/>
          </w:tblCellMar>
        </w:tblPrEx>
        <w:trPr>
          <w:gridAfter w:val="1"/>
          <w:wAfter w:w="2" w:type="dxa"/>
          <w:trHeight w:val="277" w:hRule="atLeast"/>
        </w:trPr>
        <w:tc>
          <w:tcPr>
            <w:tcW w:w="1537" w:type="dxa"/>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auto"/>
                <w:sz w:val="22"/>
                <w:szCs w:val="22"/>
                <w:highlight w:val="none"/>
              </w:rPr>
            </w:pPr>
          </w:p>
        </w:tc>
        <w:tc>
          <w:tcPr>
            <w:tcW w:w="1861" w:type="dxa"/>
            <w:gridSpan w:val="2"/>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auto"/>
                <w:sz w:val="22"/>
                <w:szCs w:val="22"/>
                <w:highlight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p>
        </w:tc>
        <w:tc>
          <w:tcPr>
            <w:tcW w:w="1653"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p>
        </w:tc>
        <w:tc>
          <w:tcPr>
            <w:tcW w:w="1600"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p>
        </w:tc>
        <w:tc>
          <w:tcPr>
            <w:tcW w:w="1680"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p>
        </w:tc>
        <w:tc>
          <w:tcPr>
            <w:tcW w:w="1728"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p>
        </w:tc>
        <w:tc>
          <w:tcPr>
            <w:tcW w:w="1948" w:type="dxa"/>
            <w:gridSpan w:val="2"/>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p>
        </w:tc>
      </w:tr>
      <w:tr>
        <w:tblPrEx>
          <w:tblCellMar>
            <w:top w:w="0" w:type="dxa"/>
            <w:left w:w="108" w:type="dxa"/>
            <w:bottom w:w="0" w:type="dxa"/>
            <w:right w:w="108" w:type="dxa"/>
          </w:tblCellMar>
        </w:tblPrEx>
        <w:trPr>
          <w:gridAfter w:val="1"/>
          <w:wAfter w:w="2" w:type="dxa"/>
          <w:trHeight w:val="277" w:hRule="atLeast"/>
        </w:trPr>
        <w:tc>
          <w:tcPr>
            <w:tcW w:w="13980" w:type="dxa"/>
            <w:gridSpan w:val="11"/>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注：本表反映部门本年度政府性基金预算财政拨款收入、支出及结转和结余情况。</w:t>
            </w:r>
          </w:p>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p>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p>
        </w:tc>
      </w:tr>
    </w:tbl>
    <w:p>
      <w:pPr>
        <w:rPr>
          <w:rFonts w:ascii="仿宋" w:hAnsi="仿宋" w:eastAsia="仿宋" w:cs="仿宋"/>
          <w:color w:val="auto"/>
          <w:sz w:val="36"/>
          <w:szCs w:val="36"/>
          <w:highlight w:val="none"/>
        </w:rPr>
      </w:pPr>
      <w:r>
        <w:rPr>
          <w:rFonts w:hint="eastAsia" w:ascii="宋体" w:hAnsi="宋体" w:eastAsia="宋体" w:cs="宋体"/>
          <w:color w:val="auto"/>
          <w:kern w:val="2"/>
          <w:sz w:val="28"/>
          <w:szCs w:val="28"/>
          <w:lang w:val="en-US" w:eastAsia="zh-CN" w:bidi="ar"/>
        </w:rPr>
        <w:t>本部门</w:t>
      </w:r>
      <w:r>
        <w:rPr>
          <w:rFonts w:hint="default" w:ascii="Times New Roman" w:hAnsi="Times New Roman" w:eastAsia="宋体" w:cs="Times New Roman"/>
          <w:color w:val="auto"/>
          <w:kern w:val="2"/>
          <w:sz w:val="28"/>
          <w:szCs w:val="28"/>
          <w:lang w:val="en-US" w:eastAsia="zh-CN" w:bidi="ar"/>
        </w:rPr>
        <w:t>2022</w:t>
      </w:r>
      <w:r>
        <w:rPr>
          <w:rFonts w:hint="eastAsia" w:ascii="宋体" w:hAnsi="宋体" w:eastAsia="宋体" w:cs="宋体"/>
          <w:color w:val="auto"/>
          <w:kern w:val="2"/>
          <w:sz w:val="28"/>
          <w:szCs w:val="28"/>
          <w:lang w:val="en-US" w:eastAsia="zh-CN" w:bidi="ar"/>
        </w:rPr>
        <w:t>年度没有政府性基金预算财政拨款收入，也没有政府性基金预算财政拨款安排的支出，故本表无数据</w:t>
      </w:r>
    </w:p>
    <w:p>
      <w:pPr>
        <w:jc w:val="left"/>
        <w:rPr>
          <w:rFonts w:ascii="仿宋" w:hAnsi="仿宋" w:eastAsia="仿宋" w:cs="仿宋"/>
          <w:color w:val="auto"/>
          <w:sz w:val="24"/>
          <w:highlight w:val="none"/>
        </w:rPr>
      </w:pPr>
    </w:p>
    <w:p>
      <w:pPr>
        <w:jc w:val="left"/>
        <w:rPr>
          <w:rFonts w:hint="eastAsia" w:ascii="仿宋" w:hAnsi="仿宋" w:eastAsia="仿宋" w:cs="仿宋"/>
          <w:color w:val="auto"/>
          <w:sz w:val="24"/>
          <w:highlight w:val="none"/>
        </w:rPr>
      </w:pPr>
    </w:p>
    <w:p>
      <w:pPr>
        <w:jc w:val="left"/>
        <w:rPr>
          <w:rFonts w:hint="eastAsia" w:ascii="仿宋" w:hAnsi="仿宋" w:eastAsia="仿宋" w:cs="仿宋"/>
          <w:color w:val="auto"/>
          <w:sz w:val="24"/>
          <w:highlight w:val="none"/>
        </w:rPr>
      </w:pPr>
    </w:p>
    <w:p>
      <w:pPr>
        <w:jc w:val="left"/>
        <w:rPr>
          <w:rFonts w:hint="eastAsia" w:ascii="仿宋" w:hAnsi="仿宋" w:eastAsia="仿宋" w:cs="仿宋"/>
          <w:color w:val="auto"/>
          <w:sz w:val="24"/>
          <w:highlight w:val="none"/>
        </w:rPr>
      </w:pPr>
    </w:p>
    <w:p>
      <w:pPr>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表</w:t>
      </w:r>
      <w:r>
        <w:rPr>
          <w:rFonts w:hint="eastAsia" w:ascii="仿宋" w:hAnsi="仿宋" w:eastAsia="仿宋" w:cs="仿宋"/>
          <w:color w:val="auto"/>
          <w:sz w:val="24"/>
          <w:highlight w:val="none"/>
          <w:lang w:val="en-US" w:eastAsia="zh-CN"/>
        </w:rPr>
        <w:t>八</w:t>
      </w:r>
      <w:r>
        <w:rPr>
          <w:rFonts w:hint="eastAsia" w:ascii="仿宋" w:hAnsi="仿宋" w:eastAsia="仿宋" w:cs="仿宋"/>
          <w:color w:val="auto"/>
          <w:sz w:val="24"/>
          <w:highlight w:val="none"/>
        </w:rPr>
        <w:t>：国有资本经营预算财政拨款支出决算表</w:t>
      </w:r>
    </w:p>
    <w:p>
      <w:pPr>
        <w:jc w:val="left"/>
        <w:rPr>
          <w:rFonts w:hint="eastAsia" w:ascii="仿宋" w:hAnsi="仿宋" w:eastAsia="仿宋" w:cs="仿宋"/>
          <w:color w:val="auto"/>
          <w:sz w:val="24"/>
          <w:highlight w:val="none"/>
        </w:rPr>
      </w:pPr>
    </w:p>
    <w:tbl>
      <w:tblPr>
        <w:tblStyle w:val="6"/>
        <w:tblW w:w="13940" w:type="dxa"/>
        <w:tblInd w:w="96" w:type="dxa"/>
        <w:tblLayout w:type="fixed"/>
        <w:tblCellMar>
          <w:top w:w="0" w:type="dxa"/>
          <w:left w:w="108" w:type="dxa"/>
          <w:bottom w:w="0" w:type="dxa"/>
          <w:right w:w="108" w:type="dxa"/>
        </w:tblCellMar>
      </w:tblPr>
      <w:tblGrid>
        <w:gridCol w:w="1638"/>
        <w:gridCol w:w="501"/>
        <w:gridCol w:w="285"/>
        <w:gridCol w:w="363"/>
        <w:gridCol w:w="1960"/>
        <w:gridCol w:w="2993"/>
        <w:gridCol w:w="3135"/>
        <w:gridCol w:w="3065"/>
      </w:tblGrid>
      <w:tr>
        <w:tblPrEx>
          <w:tblCellMar>
            <w:top w:w="0" w:type="dxa"/>
            <w:left w:w="108" w:type="dxa"/>
            <w:bottom w:w="0" w:type="dxa"/>
            <w:right w:w="108" w:type="dxa"/>
          </w:tblCellMar>
        </w:tblPrEx>
        <w:trPr>
          <w:trHeight w:val="384" w:hRule="atLeast"/>
        </w:trPr>
        <w:tc>
          <w:tcPr>
            <w:tcW w:w="13940" w:type="dxa"/>
            <w:gridSpan w:val="8"/>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color w:val="auto"/>
                <w:sz w:val="30"/>
                <w:szCs w:val="30"/>
                <w:highlight w:val="none"/>
              </w:rPr>
            </w:pPr>
            <w:r>
              <w:rPr>
                <w:rFonts w:hint="eastAsia" w:ascii="宋体" w:hAnsi="宋体" w:eastAsia="宋体" w:cs="宋体"/>
                <w:color w:val="auto"/>
                <w:kern w:val="0"/>
                <w:sz w:val="32"/>
                <w:szCs w:val="32"/>
                <w:highlight w:val="none"/>
                <w:lang w:bidi="ar"/>
              </w:rPr>
              <w:t>国有资本经营预算财政拨款支出决算表</w:t>
            </w:r>
          </w:p>
        </w:tc>
      </w:tr>
      <w:tr>
        <w:tblPrEx>
          <w:tblCellMar>
            <w:top w:w="0" w:type="dxa"/>
            <w:left w:w="108" w:type="dxa"/>
            <w:bottom w:w="0" w:type="dxa"/>
            <w:right w:w="108" w:type="dxa"/>
          </w:tblCellMar>
        </w:tblPrEx>
        <w:trPr>
          <w:trHeight w:val="264" w:hRule="atLeast"/>
        </w:trPr>
        <w:tc>
          <w:tcPr>
            <w:tcW w:w="2139" w:type="dxa"/>
            <w:gridSpan w:val="2"/>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285"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363"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960"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2993"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3135"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3065" w:type="dxa"/>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公开09表</w:t>
            </w:r>
          </w:p>
        </w:tc>
      </w:tr>
      <w:tr>
        <w:tblPrEx>
          <w:tblCellMar>
            <w:top w:w="0" w:type="dxa"/>
            <w:left w:w="108" w:type="dxa"/>
            <w:bottom w:w="0" w:type="dxa"/>
            <w:right w:w="108" w:type="dxa"/>
          </w:tblCellMar>
        </w:tblPrEx>
        <w:trPr>
          <w:trHeight w:val="264" w:hRule="atLeast"/>
        </w:trPr>
        <w:tc>
          <w:tcPr>
            <w:tcW w:w="7740" w:type="dxa"/>
            <w:gridSpan w:val="6"/>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r>
              <w:rPr>
                <w:rFonts w:hint="eastAsia" w:ascii="宋体" w:hAnsi="宋体" w:eastAsia="宋体" w:cs="宋体"/>
                <w:color w:val="auto"/>
                <w:kern w:val="0"/>
                <w:sz w:val="20"/>
                <w:szCs w:val="20"/>
                <w:highlight w:val="none"/>
                <w:lang w:bidi="ar"/>
              </w:rPr>
              <w:t>部门：</w:t>
            </w:r>
            <w:r>
              <w:rPr>
                <w:rFonts w:hint="default" w:ascii="宋体" w:hAnsi="宋体" w:eastAsia="宋体" w:cs="宋体"/>
                <w:color w:val="auto"/>
                <w:sz w:val="20"/>
                <w:u w:color="auto"/>
              </w:rPr>
              <w:t>河池市生态环境局</w:t>
            </w:r>
          </w:p>
        </w:tc>
        <w:tc>
          <w:tcPr>
            <w:tcW w:w="3135"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3065" w:type="dxa"/>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金额单位：万元</w:t>
            </w:r>
          </w:p>
        </w:tc>
      </w:tr>
      <w:tr>
        <w:tblPrEx>
          <w:tblCellMar>
            <w:top w:w="0" w:type="dxa"/>
            <w:left w:w="108" w:type="dxa"/>
            <w:bottom w:w="0" w:type="dxa"/>
            <w:right w:w="108" w:type="dxa"/>
          </w:tblCellMar>
        </w:tblPrEx>
        <w:trPr>
          <w:trHeight w:val="308" w:hRule="atLeast"/>
        </w:trPr>
        <w:tc>
          <w:tcPr>
            <w:tcW w:w="4747"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项目</w:t>
            </w:r>
          </w:p>
        </w:tc>
        <w:tc>
          <w:tcPr>
            <w:tcW w:w="9193"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本年支出</w:t>
            </w:r>
          </w:p>
        </w:tc>
      </w:tr>
      <w:tr>
        <w:tblPrEx>
          <w:tblCellMar>
            <w:top w:w="0" w:type="dxa"/>
            <w:left w:w="108" w:type="dxa"/>
            <w:bottom w:w="0" w:type="dxa"/>
            <w:right w:w="108" w:type="dxa"/>
          </w:tblCellMar>
        </w:tblPrEx>
        <w:trPr>
          <w:trHeight w:val="312" w:hRule="atLeast"/>
        </w:trPr>
        <w:tc>
          <w:tcPr>
            <w:tcW w:w="1638"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功能分类科目编码</w:t>
            </w:r>
          </w:p>
        </w:tc>
        <w:tc>
          <w:tcPr>
            <w:tcW w:w="3109" w:type="dxa"/>
            <w:gridSpan w:val="4"/>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科目名称</w:t>
            </w:r>
          </w:p>
        </w:tc>
        <w:tc>
          <w:tcPr>
            <w:tcW w:w="2993"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合计</w:t>
            </w:r>
          </w:p>
        </w:tc>
        <w:tc>
          <w:tcPr>
            <w:tcW w:w="3135"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基本支出</w:t>
            </w:r>
          </w:p>
        </w:tc>
        <w:tc>
          <w:tcPr>
            <w:tcW w:w="3065"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项目支出</w:t>
            </w:r>
          </w:p>
        </w:tc>
      </w:tr>
      <w:tr>
        <w:tblPrEx>
          <w:tblCellMar>
            <w:top w:w="0" w:type="dxa"/>
            <w:left w:w="108" w:type="dxa"/>
            <w:bottom w:w="0" w:type="dxa"/>
            <w:right w:w="108" w:type="dxa"/>
          </w:tblCellMar>
        </w:tblPrEx>
        <w:trPr>
          <w:trHeight w:val="312" w:hRule="atLeast"/>
        </w:trPr>
        <w:tc>
          <w:tcPr>
            <w:tcW w:w="163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3109" w:type="dxa"/>
            <w:gridSpan w:val="4"/>
            <w:vMerge w:val="continue"/>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2993"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313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306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312" w:hRule="atLeast"/>
        </w:trPr>
        <w:tc>
          <w:tcPr>
            <w:tcW w:w="163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3109" w:type="dxa"/>
            <w:gridSpan w:val="4"/>
            <w:vMerge w:val="continue"/>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2993"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313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306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308" w:hRule="atLeast"/>
        </w:trPr>
        <w:tc>
          <w:tcPr>
            <w:tcW w:w="4747" w:type="dxa"/>
            <w:gridSpan w:val="5"/>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栏次</w:t>
            </w:r>
          </w:p>
        </w:tc>
        <w:tc>
          <w:tcPr>
            <w:tcW w:w="299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w:t>
            </w:r>
          </w:p>
        </w:tc>
        <w:tc>
          <w:tcPr>
            <w:tcW w:w="31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2</w:t>
            </w:r>
          </w:p>
        </w:tc>
        <w:tc>
          <w:tcPr>
            <w:tcW w:w="306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3</w:t>
            </w:r>
          </w:p>
        </w:tc>
      </w:tr>
      <w:tr>
        <w:tblPrEx>
          <w:tblCellMar>
            <w:top w:w="0" w:type="dxa"/>
            <w:left w:w="108" w:type="dxa"/>
            <w:bottom w:w="0" w:type="dxa"/>
            <w:right w:w="108" w:type="dxa"/>
          </w:tblCellMar>
        </w:tblPrEx>
        <w:trPr>
          <w:trHeight w:val="308" w:hRule="atLeast"/>
        </w:trPr>
        <w:tc>
          <w:tcPr>
            <w:tcW w:w="4747" w:type="dxa"/>
            <w:gridSpan w:val="5"/>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合计</w:t>
            </w:r>
          </w:p>
        </w:tc>
        <w:tc>
          <w:tcPr>
            <w:tcW w:w="2993"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0.00</w:t>
            </w:r>
          </w:p>
        </w:tc>
        <w:tc>
          <w:tcPr>
            <w:tcW w:w="3135"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0.00</w:t>
            </w:r>
          </w:p>
        </w:tc>
        <w:tc>
          <w:tcPr>
            <w:tcW w:w="3065"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0.00</w:t>
            </w:r>
          </w:p>
        </w:tc>
      </w:tr>
      <w:tr>
        <w:tblPrEx>
          <w:tblCellMar>
            <w:top w:w="0" w:type="dxa"/>
            <w:left w:w="108" w:type="dxa"/>
            <w:bottom w:w="0" w:type="dxa"/>
            <w:right w:w="108" w:type="dxa"/>
          </w:tblCellMar>
        </w:tblPrEx>
        <w:trPr>
          <w:trHeight w:val="308" w:hRule="atLeast"/>
        </w:trPr>
        <w:tc>
          <w:tcPr>
            <w:tcW w:w="163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auto"/>
                <w:sz w:val="22"/>
                <w:szCs w:val="22"/>
                <w:highlight w:val="none"/>
              </w:rPr>
            </w:pPr>
          </w:p>
        </w:tc>
        <w:tc>
          <w:tcPr>
            <w:tcW w:w="3109" w:type="dxa"/>
            <w:gridSpan w:val="4"/>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auto"/>
                <w:sz w:val="22"/>
                <w:szCs w:val="22"/>
                <w:highlight w:val="none"/>
              </w:rPr>
            </w:pPr>
          </w:p>
        </w:tc>
        <w:tc>
          <w:tcPr>
            <w:tcW w:w="2993"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p>
        </w:tc>
        <w:tc>
          <w:tcPr>
            <w:tcW w:w="3135"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p>
        </w:tc>
        <w:tc>
          <w:tcPr>
            <w:tcW w:w="3065"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308" w:hRule="atLeast"/>
        </w:trPr>
        <w:tc>
          <w:tcPr>
            <w:tcW w:w="163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auto"/>
                <w:sz w:val="22"/>
                <w:szCs w:val="22"/>
                <w:highlight w:val="none"/>
              </w:rPr>
            </w:pPr>
          </w:p>
        </w:tc>
        <w:tc>
          <w:tcPr>
            <w:tcW w:w="3109" w:type="dxa"/>
            <w:gridSpan w:val="4"/>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auto"/>
                <w:sz w:val="22"/>
                <w:szCs w:val="22"/>
                <w:highlight w:val="none"/>
              </w:rPr>
            </w:pPr>
          </w:p>
        </w:tc>
        <w:tc>
          <w:tcPr>
            <w:tcW w:w="2993"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p>
        </w:tc>
        <w:tc>
          <w:tcPr>
            <w:tcW w:w="3135"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p>
        </w:tc>
        <w:tc>
          <w:tcPr>
            <w:tcW w:w="3065"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p>
        </w:tc>
      </w:tr>
    </w:tbl>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注：本表反映部门本年度国有资本经营预算财政拨款支出情况。</w:t>
      </w:r>
    </w:p>
    <w:p>
      <w:pPr>
        <w:keepNext w:val="0"/>
        <w:keepLines w:val="0"/>
        <w:widowControl/>
        <w:suppressLineNumbers w:val="0"/>
        <w:spacing w:before="0" w:beforeAutospacing="0" w:after="0" w:afterAutospacing="0"/>
        <w:ind w:left="0" w:right="0" w:firstLine="560" w:firstLineChars="200"/>
        <w:jc w:val="left"/>
        <w:textAlignment w:val="center"/>
        <w:rPr>
          <w:rFonts w:hint="eastAsia" w:ascii="宋体" w:hAnsi="宋体" w:eastAsia="宋体" w:cs="宋体"/>
          <w:color w:val="auto"/>
          <w:kern w:val="2"/>
          <w:sz w:val="28"/>
          <w:szCs w:val="28"/>
          <w:lang w:val="en-US" w:eastAsia="zh-CN" w:bidi="ar"/>
        </w:rPr>
      </w:pPr>
      <w:r>
        <w:rPr>
          <w:rFonts w:hint="eastAsia" w:ascii="宋体" w:hAnsi="宋体" w:eastAsia="宋体" w:cs="宋体"/>
          <w:color w:val="auto"/>
          <w:kern w:val="2"/>
          <w:sz w:val="28"/>
          <w:szCs w:val="28"/>
          <w:lang w:val="en-US" w:eastAsia="zh-CN" w:bidi="ar"/>
        </w:rPr>
        <w:t>本部门2022年度没有国有资本经营预算财政拨款收入，也没有国有资本经营预算财政拨款安排的支出，故本表无数据。</w:t>
      </w:r>
    </w:p>
    <w:p>
      <w:pPr>
        <w:keepNext w:val="0"/>
        <w:keepLines w:val="0"/>
        <w:widowControl/>
        <w:suppressLineNumbers w:val="0"/>
        <w:spacing w:before="0" w:beforeAutospacing="0" w:after="0" w:afterAutospacing="0"/>
        <w:ind w:left="0" w:right="0" w:firstLine="560" w:firstLineChars="200"/>
        <w:jc w:val="left"/>
        <w:textAlignment w:val="center"/>
        <w:rPr>
          <w:rFonts w:hint="eastAsia" w:ascii="宋体" w:hAnsi="宋体" w:eastAsia="宋体" w:cs="宋体"/>
          <w:color w:val="auto"/>
          <w:kern w:val="2"/>
          <w:sz w:val="28"/>
          <w:szCs w:val="28"/>
          <w:lang w:val="en-US" w:eastAsia="zh-CN" w:bidi="ar"/>
        </w:rPr>
      </w:pPr>
    </w:p>
    <w:p>
      <w:pPr>
        <w:keepNext w:val="0"/>
        <w:keepLines w:val="0"/>
        <w:widowControl/>
        <w:suppressLineNumbers w:val="0"/>
        <w:spacing w:before="0" w:beforeAutospacing="0" w:after="0" w:afterAutospacing="0"/>
        <w:ind w:left="0" w:right="0" w:firstLine="560" w:firstLineChars="200"/>
        <w:jc w:val="left"/>
        <w:textAlignment w:val="center"/>
        <w:rPr>
          <w:rFonts w:hint="eastAsia" w:ascii="宋体" w:hAnsi="宋体" w:eastAsia="宋体" w:cs="宋体"/>
          <w:color w:val="auto"/>
          <w:kern w:val="2"/>
          <w:sz w:val="28"/>
          <w:szCs w:val="28"/>
          <w:lang w:val="en-US" w:eastAsia="zh-CN" w:bidi="ar"/>
        </w:rPr>
      </w:pPr>
    </w:p>
    <w:p>
      <w:pPr>
        <w:keepNext w:val="0"/>
        <w:keepLines w:val="0"/>
        <w:widowControl/>
        <w:suppressLineNumbers w:val="0"/>
        <w:spacing w:before="0" w:beforeAutospacing="0" w:after="0" w:afterAutospacing="0"/>
        <w:ind w:left="0" w:right="0" w:firstLine="560" w:firstLineChars="200"/>
        <w:jc w:val="left"/>
        <w:textAlignment w:val="center"/>
        <w:rPr>
          <w:rFonts w:hint="eastAsia" w:ascii="宋体" w:hAnsi="宋体" w:eastAsia="宋体" w:cs="宋体"/>
          <w:color w:val="auto"/>
          <w:kern w:val="2"/>
          <w:sz w:val="28"/>
          <w:szCs w:val="28"/>
          <w:lang w:val="en-US" w:eastAsia="zh-CN" w:bidi="ar"/>
        </w:rPr>
      </w:pPr>
    </w:p>
    <w:tbl>
      <w:tblPr>
        <w:tblStyle w:val="6"/>
        <w:tblW w:w="14036" w:type="dxa"/>
        <w:tblInd w:w="0" w:type="dxa"/>
        <w:tblLayout w:type="fixed"/>
        <w:tblCellMar>
          <w:top w:w="0" w:type="dxa"/>
          <w:left w:w="108" w:type="dxa"/>
          <w:bottom w:w="0" w:type="dxa"/>
          <w:right w:w="108" w:type="dxa"/>
        </w:tblCellMar>
      </w:tblPr>
      <w:tblGrid>
        <w:gridCol w:w="96"/>
        <w:gridCol w:w="1438"/>
        <w:gridCol w:w="1425"/>
        <w:gridCol w:w="1094"/>
        <w:gridCol w:w="1159"/>
        <w:gridCol w:w="1133"/>
        <w:gridCol w:w="1040"/>
        <w:gridCol w:w="1066"/>
        <w:gridCol w:w="1161"/>
        <w:gridCol w:w="1053"/>
        <w:gridCol w:w="1148"/>
        <w:gridCol w:w="1133"/>
        <w:gridCol w:w="1073"/>
        <w:gridCol w:w="17"/>
      </w:tblGrid>
      <w:tr>
        <w:tblPrEx>
          <w:tblCellMar>
            <w:top w:w="0" w:type="dxa"/>
            <w:left w:w="108" w:type="dxa"/>
            <w:bottom w:w="0" w:type="dxa"/>
            <w:right w:w="108" w:type="dxa"/>
          </w:tblCellMar>
        </w:tblPrEx>
        <w:trPr>
          <w:gridBefore w:val="1"/>
          <w:wBefore w:w="96" w:type="dxa"/>
          <w:trHeight w:val="308" w:hRule="atLeast"/>
        </w:trPr>
        <w:tc>
          <w:tcPr>
            <w:tcW w:w="13940" w:type="dxa"/>
            <w:gridSpan w:val="13"/>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p>
        </w:tc>
      </w:tr>
      <w:tr>
        <w:tblPrEx>
          <w:tblCellMar>
            <w:top w:w="0" w:type="dxa"/>
            <w:left w:w="108" w:type="dxa"/>
            <w:bottom w:w="0" w:type="dxa"/>
            <w:right w:w="108" w:type="dxa"/>
          </w:tblCellMar>
        </w:tblPrEx>
        <w:trPr>
          <w:gridAfter w:val="1"/>
          <w:wAfter w:w="17" w:type="dxa"/>
          <w:trHeight w:val="632" w:hRule="atLeast"/>
        </w:trPr>
        <w:tc>
          <w:tcPr>
            <w:tcW w:w="14019" w:type="dxa"/>
            <w:gridSpan w:val="13"/>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jc w:val="left"/>
              <w:rPr>
                <w:rFonts w:hint="default" w:ascii="仿宋" w:hAnsi="仿宋" w:eastAsia="仿宋" w:cs="仿宋"/>
                <w:color w:val="auto"/>
                <w:sz w:val="24"/>
                <w:highlight w:val="none"/>
              </w:rPr>
            </w:pPr>
            <w:r>
              <w:rPr>
                <w:rFonts w:hint="eastAsia" w:ascii="仿宋" w:hAnsi="仿宋" w:eastAsia="仿宋" w:cs="仿宋"/>
                <w:color w:val="auto"/>
                <w:sz w:val="24"/>
                <w:highlight w:val="none"/>
                <w:lang w:val="en-US" w:eastAsia="zh-CN"/>
              </w:rPr>
              <w:t>表九：</w:t>
            </w:r>
            <w:r>
              <w:rPr>
                <w:rFonts w:hint="eastAsia" w:ascii="仿宋" w:hAnsi="仿宋" w:eastAsia="仿宋" w:cs="仿宋"/>
                <w:color w:val="auto"/>
                <w:sz w:val="24"/>
                <w:highlight w:val="none"/>
              </w:rPr>
              <w:t>一般公共预算财政拨款安排的“三公”经费支出决算表</w:t>
            </w:r>
          </w:p>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auto"/>
                <w:kern w:val="0"/>
                <w:sz w:val="30"/>
                <w:szCs w:val="30"/>
                <w:highlight w:val="none"/>
                <w:lang w:bidi="ar"/>
              </w:rPr>
            </w:pPr>
          </w:p>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color w:val="auto"/>
                <w:sz w:val="30"/>
                <w:szCs w:val="30"/>
                <w:highlight w:val="none"/>
              </w:rPr>
            </w:pPr>
            <w:r>
              <w:rPr>
                <w:rFonts w:hint="eastAsia" w:ascii="宋体" w:hAnsi="宋体" w:eastAsia="宋体" w:cs="宋体"/>
                <w:color w:val="auto"/>
                <w:kern w:val="0"/>
                <w:sz w:val="32"/>
                <w:szCs w:val="32"/>
                <w:highlight w:val="none"/>
                <w:lang w:bidi="ar"/>
              </w:rPr>
              <w:t>一般公共预算财政拨款“三公”经费支出决算表</w:t>
            </w:r>
          </w:p>
        </w:tc>
      </w:tr>
      <w:tr>
        <w:tblPrEx>
          <w:tblCellMar>
            <w:top w:w="0" w:type="dxa"/>
            <w:left w:w="108" w:type="dxa"/>
            <w:bottom w:w="0" w:type="dxa"/>
            <w:right w:w="108" w:type="dxa"/>
          </w:tblCellMar>
        </w:tblPrEx>
        <w:trPr>
          <w:gridAfter w:val="1"/>
          <w:wAfter w:w="17" w:type="dxa"/>
          <w:trHeight w:val="316" w:hRule="atLeast"/>
        </w:trPr>
        <w:tc>
          <w:tcPr>
            <w:tcW w:w="1534" w:type="dxa"/>
            <w:gridSpan w:val="2"/>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425"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094"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159"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133"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040"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066"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161"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053"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148"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133"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073" w:type="dxa"/>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公开07表</w:t>
            </w:r>
          </w:p>
        </w:tc>
      </w:tr>
      <w:tr>
        <w:tblPrEx>
          <w:tblCellMar>
            <w:top w:w="0" w:type="dxa"/>
            <w:left w:w="108" w:type="dxa"/>
            <w:bottom w:w="0" w:type="dxa"/>
            <w:right w:w="108" w:type="dxa"/>
          </w:tblCellMar>
        </w:tblPrEx>
        <w:trPr>
          <w:gridAfter w:val="1"/>
          <w:wAfter w:w="17" w:type="dxa"/>
          <w:trHeight w:val="316" w:hRule="atLeast"/>
        </w:trPr>
        <w:tc>
          <w:tcPr>
            <w:tcW w:w="7385" w:type="dxa"/>
            <w:gridSpan w:val="7"/>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r>
              <w:rPr>
                <w:rFonts w:hint="eastAsia" w:ascii="宋体" w:hAnsi="宋体" w:eastAsia="宋体" w:cs="宋体"/>
                <w:color w:val="auto"/>
                <w:kern w:val="0"/>
                <w:sz w:val="20"/>
                <w:szCs w:val="20"/>
                <w:highlight w:val="none"/>
                <w:lang w:bidi="ar"/>
              </w:rPr>
              <w:t>部门：</w:t>
            </w:r>
            <w:r>
              <w:rPr>
                <w:rFonts w:hint="default" w:ascii="宋体" w:hAnsi="宋体" w:eastAsia="宋体" w:cs="宋体"/>
                <w:color w:val="auto"/>
                <w:sz w:val="20"/>
                <w:u w:color="auto"/>
              </w:rPr>
              <w:t>河池市生态环境局</w:t>
            </w:r>
          </w:p>
        </w:tc>
        <w:tc>
          <w:tcPr>
            <w:tcW w:w="1066"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161"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053"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1148"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highlight w:val="none"/>
              </w:rPr>
            </w:pPr>
          </w:p>
        </w:tc>
        <w:tc>
          <w:tcPr>
            <w:tcW w:w="2206" w:type="dxa"/>
            <w:gridSpan w:val="2"/>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金额单位：万元</w:t>
            </w:r>
          </w:p>
        </w:tc>
      </w:tr>
      <w:tr>
        <w:tblPrEx>
          <w:tblCellMar>
            <w:top w:w="0" w:type="dxa"/>
            <w:left w:w="108" w:type="dxa"/>
            <w:bottom w:w="0" w:type="dxa"/>
            <w:right w:w="108" w:type="dxa"/>
          </w:tblCellMar>
        </w:tblPrEx>
        <w:trPr>
          <w:gridAfter w:val="1"/>
          <w:wAfter w:w="17" w:type="dxa"/>
          <w:trHeight w:val="326" w:hRule="atLeast"/>
        </w:trPr>
        <w:tc>
          <w:tcPr>
            <w:tcW w:w="738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预算数</w:t>
            </w:r>
          </w:p>
        </w:tc>
        <w:tc>
          <w:tcPr>
            <w:tcW w:w="6634" w:type="dxa"/>
            <w:gridSpan w:val="6"/>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决算数</w:t>
            </w:r>
          </w:p>
        </w:tc>
      </w:tr>
      <w:tr>
        <w:tblPrEx>
          <w:tblCellMar>
            <w:top w:w="0" w:type="dxa"/>
            <w:left w:w="108" w:type="dxa"/>
            <w:bottom w:w="0" w:type="dxa"/>
            <w:right w:w="108" w:type="dxa"/>
          </w:tblCellMar>
        </w:tblPrEx>
        <w:trPr>
          <w:gridAfter w:val="1"/>
          <w:wAfter w:w="17" w:type="dxa"/>
          <w:trHeight w:val="326" w:hRule="atLeast"/>
        </w:trPr>
        <w:tc>
          <w:tcPr>
            <w:tcW w:w="1534" w:type="dxa"/>
            <w:gridSpan w:val="2"/>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合计</w:t>
            </w:r>
          </w:p>
        </w:tc>
        <w:tc>
          <w:tcPr>
            <w:tcW w:w="1425"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因公出国（境）费</w:t>
            </w:r>
          </w:p>
        </w:tc>
        <w:tc>
          <w:tcPr>
            <w:tcW w:w="3386"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公务用车购置及运行费</w:t>
            </w:r>
          </w:p>
        </w:tc>
        <w:tc>
          <w:tcPr>
            <w:tcW w:w="1040"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公务接待费</w:t>
            </w:r>
          </w:p>
        </w:tc>
        <w:tc>
          <w:tcPr>
            <w:tcW w:w="1066"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合计</w:t>
            </w:r>
          </w:p>
        </w:tc>
        <w:tc>
          <w:tcPr>
            <w:tcW w:w="1161"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因公出国（境）费</w:t>
            </w:r>
          </w:p>
        </w:tc>
        <w:tc>
          <w:tcPr>
            <w:tcW w:w="3334"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公务用车购置及运行费</w:t>
            </w:r>
          </w:p>
        </w:tc>
        <w:tc>
          <w:tcPr>
            <w:tcW w:w="1073"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公务接待费</w:t>
            </w:r>
          </w:p>
        </w:tc>
      </w:tr>
      <w:tr>
        <w:tblPrEx>
          <w:tblCellMar>
            <w:top w:w="0" w:type="dxa"/>
            <w:left w:w="108" w:type="dxa"/>
            <w:bottom w:w="0" w:type="dxa"/>
            <w:right w:w="108" w:type="dxa"/>
          </w:tblCellMar>
        </w:tblPrEx>
        <w:trPr>
          <w:gridAfter w:val="1"/>
          <w:wAfter w:w="17" w:type="dxa"/>
          <w:trHeight w:val="642" w:hRule="atLeast"/>
        </w:trPr>
        <w:tc>
          <w:tcPr>
            <w:tcW w:w="153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42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0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小计</w:t>
            </w:r>
          </w:p>
        </w:tc>
        <w:tc>
          <w:tcPr>
            <w:tcW w:w="1159"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公务用车购置费</w:t>
            </w:r>
          </w:p>
        </w:tc>
        <w:tc>
          <w:tcPr>
            <w:tcW w:w="113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公务用车运行费</w:t>
            </w:r>
          </w:p>
        </w:tc>
        <w:tc>
          <w:tcPr>
            <w:tcW w:w="104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066"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16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c>
          <w:tcPr>
            <w:tcW w:w="105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小计</w:t>
            </w:r>
          </w:p>
        </w:tc>
        <w:tc>
          <w:tcPr>
            <w:tcW w:w="114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公务用车购置费</w:t>
            </w:r>
          </w:p>
        </w:tc>
        <w:tc>
          <w:tcPr>
            <w:tcW w:w="113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公务用车运行费</w:t>
            </w:r>
          </w:p>
        </w:tc>
        <w:tc>
          <w:tcPr>
            <w:tcW w:w="1073"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highlight w:val="none"/>
              </w:rPr>
            </w:pPr>
          </w:p>
        </w:tc>
      </w:tr>
      <w:tr>
        <w:tblPrEx>
          <w:tblCellMar>
            <w:top w:w="0" w:type="dxa"/>
            <w:left w:w="108" w:type="dxa"/>
            <w:bottom w:w="0" w:type="dxa"/>
            <w:right w:w="108" w:type="dxa"/>
          </w:tblCellMar>
        </w:tblPrEx>
        <w:trPr>
          <w:gridAfter w:val="1"/>
          <w:wAfter w:w="17" w:type="dxa"/>
          <w:trHeight w:val="959" w:hRule="atLeast"/>
        </w:trPr>
        <w:tc>
          <w:tcPr>
            <w:tcW w:w="1534" w:type="dxa"/>
            <w:gridSpan w:val="2"/>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1</w:t>
            </w:r>
          </w:p>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p>
        </w:tc>
        <w:tc>
          <w:tcPr>
            <w:tcW w:w="142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2</w:t>
            </w:r>
          </w:p>
        </w:tc>
        <w:tc>
          <w:tcPr>
            <w:tcW w:w="10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3</w:t>
            </w:r>
          </w:p>
        </w:tc>
        <w:tc>
          <w:tcPr>
            <w:tcW w:w="1159"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4</w:t>
            </w:r>
          </w:p>
        </w:tc>
        <w:tc>
          <w:tcPr>
            <w:tcW w:w="113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5</w:t>
            </w:r>
          </w:p>
        </w:tc>
        <w:tc>
          <w:tcPr>
            <w:tcW w:w="104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6</w:t>
            </w:r>
          </w:p>
        </w:tc>
        <w:tc>
          <w:tcPr>
            <w:tcW w:w="10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7</w:t>
            </w:r>
          </w:p>
        </w:tc>
        <w:tc>
          <w:tcPr>
            <w:tcW w:w="1161"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8</w:t>
            </w:r>
          </w:p>
        </w:tc>
        <w:tc>
          <w:tcPr>
            <w:tcW w:w="105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9</w:t>
            </w:r>
          </w:p>
        </w:tc>
        <w:tc>
          <w:tcPr>
            <w:tcW w:w="114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10</w:t>
            </w:r>
          </w:p>
        </w:tc>
        <w:tc>
          <w:tcPr>
            <w:tcW w:w="113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11</w:t>
            </w:r>
          </w:p>
        </w:tc>
        <w:tc>
          <w:tcPr>
            <w:tcW w:w="107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12</w:t>
            </w:r>
          </w:p>
        </w:tc>
      </w:tr>
      <w:tr>
        <w:tblPrEx>
          <w:tblCellMar>
            <w:top w:w="0" w:type="dxa"/>
            <w:left w:w="108" w:type="dxa"/>
            <w:bottom w:w="0" w:type="dxa"/>
            <w:right w:w="108" w:type="dxa"/>
          </w:tblCellMar>
        </w:tblPrEx>
        <w:trPr>
          <w:gridAfter w:val="1"/>
          <w:wAfter w:w="17" w:type="dxa"/>
          <w:trHeight w:val="642" w:hRule="atLeast"/>
        </w:trPr>
        <w:tc>
          <w:tcPr>
            <w:tcW w:w="1534" w:type="dxa"/>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46.45</w:t>
            </w:r>
          </w:p>
        </w:tc>
        <w:tc>
          <w:tcPr>
            <w:tcW w:w="1425"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0.00</w:t>
            </w:r>
          </w:p>
        </w:tc>
        <w:tc>
          <w:tcPr>
            <w:tcW w:w="1094"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44.04</w:t>
            </w:r>
          </w:p>
        </w:tc>
        <w:tc>
          <w:tcPr>
            <w:tcW w:w="1159"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29.94</w:t>
            </w:r>
          </w:p>
        </w:tc>
        <w:tc>
          <w:tcPr>
            <w:tcW w:w="1133"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r>
              <w:rPr>
                <w:rFonts w:hint="default" w:ascii="宋体" w:hAnsi="宋体" w:eastAsia="宋体" w:cs="宋体"/>
                <w:color w:val="auto"/>
                <w:sz w:val="22"/>
                <w:szCs w:val="22"/>
                <w:highlight w:val="none"/>
              </w:rPr>
              <w:t>14.10</w:t>
            </w:r>
          </w:p>
        </w:tc>
        <w:tc>
          <w:tcPr>
            <w:tcW w:w="10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2.42</w:t>
            </w:r>
          </w:p>
        </w:tc>
        <w:tc>
          <w:tcPr>
            <w:tcW w:w="106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46.45</w:t>
            </w:r>
          </w:p>
        </w:tc>
        <w:tc>
          <w:tcPr>
            <w:tcW w:w="1161"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0.00</w:t>
            </w:r>
          </w:p>
        </w:tc>
        <w:tc>
          <w:tcPr>
            <w:tcW w:w="1053"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44.04</w:t>
            </w:r>
          </w:p>
        </w:tc>
        <w:tc>
          <w:tcPr>
            <w:tcW w:w="1148"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highlight w:val="none"/>
              </w:rPr>
            </w:pPr>
            <w:r>
              <w:rPr>
                <w:rFonts w:hint="eastAsia" w:ascii="宋体" w:hAnsi="宋体" w:eastAsia="宋体" w:cs="宋体"/>
                <w:color w:val="auto"/>
                <w:sz w:val="22"/>
                <w:szCs w:val="22"/>
                <w:highlight w:val="none"/>
              </w:rPr>
              <w:t>29.94</w:t>
            </w:r>
          </w:p>
        </w:tc>
        <w:tc>
          <w:tcPr>
            <w:tcW w:w="1133" w:type="dxa"/>
            <w:tcBorders>
              <w:top w:val="nil"/>
              <w:left w:val="nil"/>
              <w:bottom w:val="single" w:color="000000" w:sz="4" w:space="0"/>
              <w:right w:val="single" w:color="000000" w:sz="4" w:space="0"/>
            </w:tcBorders>
            <w:shd w:val="clear" w:color="auto" w:fill="auto"/>
            <w:noWrap/>
          </w:tcPr>
          <w:p>
            <w:pPr>
              <w:keepNext w:val="0"/>
              <w:keepLines w:val="0"/>
              <w:suppressLineNumbers w:val="0"/>
              <w:spacing w:before="0" w:beforeAutospacing="0" w:after="0" w:afterAutospacing="0"/>
              <w:ind w:left="0" w:right="0"/>
              <w:jc w:val="center"/>
              <w:rPr>
                <w:rFonts w:hint="default"/>
                <w:color w:val="auto"/>
                <w:highlight w:val="none"/>
              </w:rPr>
            </w:pPr>
            <w:r>
              <w:rPr>
                <w:rFonts w:hint="default"/>
                <w:color w:val="auto"/>
                <w:highlight w:val="none"/>
              </w:rPr>
              <w:t>14.10</w:t>
            </w:r>
          </w:p>
        </w:tc>
        <w:tc>
          <w:tcPr>
            <w:tcW w:w="1073" w:type="dxa"/>
            <w:tcBorders>
              <w:top w:val="nil"/>
              <w:left w:val="nil"/>
              <w:bottom w:val="single" w:color="000000" w:sz="4" w:space="0"/>
              <w:right w:val="single" w:color="000000" w:sz="4" w:space="0"/>
            </w:tcBorders>
            <w:shd w:val="clear" w:color="auto" w:fill="auto"/>
            <w:noWrap/>
          </w:tcPr>
          <w:p>
            <w:pPr>
              <w:keepNext w:val="0"/>
              <w:keepLines w:val="0"/>
              <w:suppressLineNumbers w:val="0"/>
              <w:spacing w:before="0" w:beforeAutospacing="0" w:after="0" w:afterAutospacing="0"/>
              <w:ind w:left="0" w:right="0"/>
              <w:jc w:val="center"/>
              <w:rPr>
                <w:rFonts w:hint="default"/>
                <w:color w:val="auto"/>
                <w:highlight w:val="none"/>
              </w:rPr>
            </w:pPr>
            <w:r>
              <w:rPr>
                <w:rFonts w:hint="eastAsia" w:ascii="宋体" w:hAnsi="宋体" w:eastAsia="宋体" w:cs="宋体"/>
                <w:color w:val="auto"/>
                <w:kern w:val="0"/>
                <w:sz w:val="22"/>
                <w:szCs w:val="22"/>
                <w:highlight w:val="none"/>
                <w:lang w:bidi="ar"/>
              </w:rPr>
              <w:t>2.42</w:t>
            </w:r>
          </w:p>
        </w:tc>
      </w:tr>
      <w:tr>
        <w:tblPrEx>
          <w:tblCellMar>
            <w:top w:w="0" w:type="dxa"/>
            <w:left w:w="108" w:type="dxa"/>
            <w:bottom w:w="0" w:type="dxa"/>
            <w:right w:w="108" w:type="dxa"/>
          </w:tblCellMar>
        </w:tblPrEx>
        <w:trPr>
          <w:gridAfter w:val="1"/>
          <w:wAfter w:w="17" w:type="dxa"/>
          <w:trHeight w:val="642" w:hRule="atLeast"/>
        </w:trPr>
        <w:tc>
          <w:tcPr>
            <w:tcW w:w="14019" w:type="dxa"/>
            <w:gridSpan w:val="13"/>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注：本表反映部门本年度“三公”经费支出预决算情况。其中，预算数为“三公”经费全年预算数，反映按规定程序调整后的预算数；决算数是包括当年一般公共预算财政拨款和以前年度结转资金安排的实际支出。</w:t>
            </w:r>
          </w:p>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highlight w:val="none"/>
                <w:lang w:bidi="ar"/>
              </w:rPr>
            </w:pPr>
            <w:r>
              <w:rPr>
                <w:rFonts w:hint="eastAsia" w:ascii="宋体" w:hAnsi="宋体" w:eastAsia="宋体" w:cs="宋体"/>
                <w:color w:val="auto"/>
                <w:kern w:val="2"/>
                <w:sz w:val="21"/>
                <w:szCs w:val="21"/>
                <w:lang w:val="en-US" w:eastAsia="zh-CN" w:bidi="ar"/>
              </w:rPr>
              <w:t xml:space="preserve"> </w:t>
            </w:r>
          </w:p>
        </w:tc>
      </w:tr>
    </w:tbl>
    <w:p>
      <w:pPr>
        <w:ind w:firstLine="420" w:firstLineChars="0"/>
        <w:jc w:val="left"/>
        <w:rPr>
          <w:rFonts w:ascii="仿宋" w:hAnsi="仿宋" w:eastAsia="仿宋" w:cs="仿宋"/>
          <w:color w:val="auto"/>
          <w:sz w:val="24"/>
          <w:highlight w:val="none"/>
        </w:rPr>
        <w:sectPr>
          <w:pgSz w:w="16838" w:h="11906" w:orient="landscape"/>
          <w:pgMar w:top="1800" w:right="1440" w:bottom="1800" w:left="1440" w:header="851" w:footer="992" w:gutter="0"/>
          <w:cols w:space="425" w:num="1"/>
          <w:docGrid w:type="lines" w:linePitch="312" w:charSpace="0"/>
        </w:sectPr>
      </w:pPr>
    </w:p>
    <w:p>
      <w:pPr>
        <w:jc w:val="left"/>
        <w:rPr>
          <w:rFonts w:ascii="仿宋" w:hAnsi="仿宋" w:eastAsia="仿宋" w:cs="仿宋"/>
          <w:color w:val="auto"/>
          <w:sz w:val="24"/>
          <w:highlight w:val="none"/>
        </w:rPr>
      </w:pPr>
    </w:p>
    <w:p>
      <w:pPr>
        <w:jc w:val="center"/>
        <w:rPr>
          <w:rFonts w:ascii="仿宋" w:hAnsi="仿宋" w:eastAsia="仿宋" w:cs="仿宋"/>
          <w:color w:val="auto"/>
          <w:sz w:val="32"/>
          <w:szCs w:val="32"/>
          <w:highlight w:val="none"/>
        </w:rPr>
      </w:pPr>
      <w:r>
        <w:rPr>
          <w:rFonts w:hint="eastAsia" w:ascii="黑体" w:hAnsi="黑体" w:eastAsia="黑体" w:cs="黑体"/>
          <w:color w:val="auto"/>
          <w:sz w:val="32"/>
          <w:szCs w:val="32"/>
          <w:highlight w:val="none"/>
        </w:rPr>
        <w:t>第三部分：</w:t>
      </w:r>
      <w:r>
        <w:rPr>
          <w:rFonts w:ascii="黑体" w:hAnsi="黑体" w:eastAsia="黑体" w:cs="黑体"/>
          <w:color w:val="auto"/>
          <w:sz w:val="32"/>
          <w:u w:color="auto"/>
        </w:rPr>
        <w:t>河池市生态环境局</w:t>
      </w:r>
      <w:r>
        <w:rPr>
          <w:rFonts w:hint="eastAsia" w:ascii="黑体" w:hAnsi="黑体" w:eastAsia="黑体" w:cs="黑体"/>
          <w:color w:val="auto"/>
          <w:sz w:val="32"/>
          <w:szCs w:val="32"/>
          <w:highlight w:val="none"/>
        </w:rPr>
        <w:t>2022年度部门决算情况说明</w:t>
      </w:r>
    </w:p>
    <w:p>
      <w:pPr>
        <w:jc w:val="left"/>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一、2022年度收入支出决算总体情况</w:t>
      </w:r>
    </w:p>
    <w:p>
      <w:pPr>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（一）本部门2022年度总收入</w:t>
      </w:r>
      <w:r>
        <w:rPr>
          <w:rFonts w:ascii="仿宋" w:hAnsi="仿宋" w:eastAsia="仿宋" w:cs="仿宋"/>
          <w:color w:val="auto"/>
          <w:sz w:val="32"/>
          <w:u w:color="auto"/>
        </w:rPr>
        <w:t>7778.50</w:t>
      </w:r>
      <w:r>
        <w:rPr>
          <w:rFonts w:hint="eastAsia" w:ascii="仿宋" w:hAnsi="仿宋" w:eastAsia="仿宋" w:cs="仿宋"/>
          <w:color w:val="auto"/>
          <w:sz w:val="32"/>
          <w:szCs w:val="32"/>
          <w:highlight w:val="none"/>
        </w:rPr>
        <w:t>万元，较2021年度决算数</w:t>
      </w:r>
      <w:r>
        <w:rPr>
          <w:rFonts w:ascii="仿宋" w:hAnsi="仿宋" w:eastAsia="仿宋" w:cs="仿宋"/>
          <w:color w:val="auto"/>
          <w:sz w:val="32"/>
          <w:u w:color="auto"/>
        </w:rPr>
        <w:t>增加5513.79</w:t>
      </w:r>
      <w:r>
        <w:rPr>
          <w:rFonts w:hint="eastAsia" w:ascii="仿宋" w:hAnsi="仿宋" w:eastAsia="仿宋" w:cs="仿宋"/>
          <w:color w:val="auto"/>
          <w:sz w:val="32"/>
          <w:szCs w:val="32"/>
          <w:highlight w:val="none"/>
        </w:rPr>
        <w:t>万元，</w:t>
      </w:r>
      <w:r>
        <w:rPr>
          <w:rFonts w:ascii="仿宋" w:hAnsi="仿宋" w:eastAsia="仿宋" w:cs="仿宋"/>
          <w:color w:val="auto"/>
          <w:sz w:val="32"/>
          <w:u w:color="auto"/>
        </w:rPr>
        <w:t>增长243.47%</w:t>
      </w:r>
      <w:r>
        <w:rPr>
          <w:rFonts w:hint="eastAsia" w:ascii="仿宋" w:hAnsi="仿宋" w:eastAsia="仿宋" w:cs="仿宋"/>
          <w:color w:val="auto"/>
          <w:sz w:val="32"/>
          <w:szCs w:val="32"/>
          <w:highlight w:val="none"/>
        </w:rPr>
        <w:t>，其中本年收入</w:t>
      </w:r>
      <w:r>
        <w:rPr>
          <w:rFonts w:ascii="仿宋" w:hAnsi="仿宋" w:eastAsia="仿宋" w:cs="仿宋"/>
          <w:color w:val="auto"/>
          <w:sz w:val="32"/>
          <w:u w:color="auto"/>
        </w:rPr>
        <w:t>7652.50</w:t>
      </w:r>
      <w:r>
        <w:rPr>
          <w:rFonts w:hint="eastAsia" w:ascii="仿宋" w:hAnsi="仿宋" w:eastAsia="仿宋" w:cs="仿宋"/>
          <w:color w:val="auto"/>
          <w:sz w:val="32"/>
          <w:szCs w:val="32"/>
          <w:highlight w:val="none"/>
        </w:rPr>
        <w:t>万元。收入具体情况如下。</w:t>
      </w:r>
    </w:p>
    <w:p>
      <w:pPr>
        <w:keepNext w:val="0"/>
        <w:keepLines w:val="0"/>
        <w:widowControl w:val="0"/>
        <w:suppressLineNumbers w:val="0"/>
        <w:spacing w:before="0" w:beforeAutospacing="0" w:after="0" w:afterAutospacing="0"/>
        <w:ind w:left="0" w:right="0" w:firstLine="640" w:firstLineChars="200"/>
        <w:jc w:val="left"/>
        <w:rPr>
          <w:rFonts w:hint="default" w:ascii="仿宋" w:hAnsi="仿宋" w:eastAsia="仿宋" w:cs="仿宋"/>
          <w:color w:val="auto"/>
          <w:kern w:val="2"/>
          <w:sz w:val="32"/>
          <w:szCs w:val="32"/>
          <w:highlight w:val="none"/>
          <w:lang w:val="en-US" w:eastAsia="zh-CN" w:bidi="ar"/>
        </w:rPr>
      </w:pPr>
      <w:r>
        <w:rPr>
          <w:rFonts w:hint="eastAsia" w:ascii="仿宋" w:hAnsi="仿宋" w:eastAsia="仿宋" w:cs="仿宋"/>
          <w:color w:val="auto"/>
          <w:kern w:val="2"/>
          <w:sz w:val="32"/>
          <w:szCs w:val="32"/>
          <w:highlight w:val="none"/>
          <w:lang w:val="en-US" w:eastAsia="zh-CN" w:bidi="ar"/>
        </w:rPr>
        <w:t>1.一般公共预算财政拨款收入</w:t>
      </w:r>
      <w:r>
        <w:rPr>
          <w:rFonts w:ascii="仿宋" w:hAnsi="仿宋" w:eastAsia="仿宋" w:cs="仿宋"/>
          <w:color w:val="auto"/>
          <w:sz w:val="32"/>
          <w:u w:color="auto"/>
        </w:rPr>
        <w:t>7652.50</w:t>
      </w:r>
      <w:r>
        <w:rPr>
          <w:rFonts w:hint="eastAsia" w:ascii="仿宋" w:hAnsi="仿宋" w:eastAsia="仿宋" w:cs="仿宋"/>
          <w:color w:val="auto"/>
          <w:kern w:val="2"/>
          <w:sz w:val="32"/>
          <w:szCs w:val="32"/>
          <w:highlight w:val="none"/>
          <w:lang w:val="en-US" w:eastAsia="zh-CN" w:bidi="ar"/>
        </w:rPr>
        <w:t>万元，为自治区本级财政当年拨付的资金。较2021年度决算数</w:t>
      </w:r>
      <w:r>
        <w:rPr>
          <w:rFonts w:ascii="仿宋" w:hAnsi="仿宋" w:eastAsia="仿宋" w:cs="仿宋"/>
          <w:color w:val="auto"/>
          <w:sz w:val="32"/>
          <w:u w:color="auto"/>
        </w:rPr>
        <w:t>增加5596.82</w:t>
      </w:r>
      <w:r>
        <w:rPr>
          <w:rFonts w:hint="eastAsia" w:ascii="仿宋" w:hAnsi="仿宋" w:eastAsia="仿宋" w:cs="仿宋"/>
          <w:color w:val="auto"/>
          <w:kern w:val="2"/>
          <w:sz w:val="32"/>
          <w:szCs w:val="32"/>
          <w:highlight w:val="none"/>
          <w:lang w:val="en-US" w:eastAsia="zh-CN" w:bidi="ar"/>
        </w:rPr>
        <w:t>万元，</w:t>
      </w:r>
      <w:r>
        <w:rPr>
          <w:rFonts w:ascii="仿宋" w:hAnsi="仿宋" w:eastAsia="仿宋" w:cs="仿宋"/>
          <w:color w:val="auto"/>
          <w:sz w:val="32"/>
          <w:u w:color="auto"/>
        </w:rPr>
        <w:t>增长272.26%</w:t>
      </w:r>
      <w:r>
        <w:rPr>
          <w:rFonts w:hint="eastAsia" w:ascii="仿宋" w:hAnsi="仿宋" w:eastAsia="仿宋" w:cs="仿宋"/>
          <w:color w:val="auto"/>
          <w:kern w:val="2"/>
          <w:sz w:val="32"/>
          <w:szCs w:val="32"/>
          <w:highlight w:val="none"/>
          <w:lang w:val="en-US" w:eastAsia="zh-CN" w:bidi="ar"/>
        </w:rPr>
        <w:t>，</w:t>
      </w:r>
      <w:r>
        <w:rPr>
          <w:rFonts w:hint="eastAsia" w:ascii="仿宋" w:hAnsi="仿宋" w:eastAsia="仿宋" w:cs="仿宋"/>
          <w:color w:val="auto"/>
          <w:kern w:val="2"/>
          <w:sz w:val="32"/>
          <w:szCs w:val="32"/>
          <w:highlight w:val="none"/>
          <w:lang w:val="en-US" w:eastAsia="zh-CN" w:bidi="ar"/>
        </w:rPr>
        <w:t>主要原因：</w:t>
      </w:r>
      <w:r>
        <w:rPr>
          <w:rFonts w:hint="eastAsia" w:eastAsia="仿宋_GB2312"/>
          <w:color w:val="auto"/>
          <w:sz w:val="32"/>
          <w:szCs w:val="32"/>
        </w:rPr>
        <w:t>各县（区）生态环境机构上收市级管理</w:t>
      </w:r>
      <w:r>
        <w:rPr>
          <w:rFonts w:hint="eastAsia" w:ascii="仿宋" w:hAnsi="仿宋" w:eastAsia="仿宋" w:cs="仿宋"/>
          <w:color w:val="auto"/>
          <w:kern w:val="2"/>
          <w:sz w:val="32"/>
          <w:szCs w:val="32"/>
          <w:highlight w:val="none"/>
          <w:lang w:val="en-US" w:eastAsia="zh-CN" w:bidi="ar"/>
        </w:rPr>
        <w:t>，11县区生态环境派出局人员经费纳入市本级经费保障。</w:t>
      </w:r>
    </w:p>
    <w:p>
      <w:pPr>
        <w:keepNext w:val="0"/>
        <w:keepLines w:val="0"/>
        <w:widowControl w:val="0"/>
        <w:suppressLineNumbers w:val="0"/>
        <w:spacing w:before="0" w:beforeAutospacing="0" w:after="0" w:afterAutospacing="0"/>
        <w:ind w:left="0" w:right="0" w:firstLine="640" w:firstLineChars="200"/>
        <w:jc w:val="left"/>
        <w:rPr>
          <w:rFonts w:hint="eastAsia" w:ascii="仿宋" w:hAnsi="仿宋" w:eastAsia="仿宋" w:cs="Times New Roman"/>
          <w:color w:val="auto"/>
          <w:sz w:val="32"/>
          <w:szCs w:val="32"/>
          <w:highlight w:val="none"/>
          <w:lang w:val="en-US"/>
        </w:rPr>
      </w:pPr>
      <w:r>
        <w:rPr>
          <w:rFonts w:hint="eastAsia" w:ascii="仿宋" w:hAnsi="仿宋" w:eastAsia="仿宋" w:cs="仿宋"/>
          <w:color w:val="auto"/>
          <w:kern w:val="2"/>
          <w:sz w:val="32"/>
          <w:szCs w:val="32"/>
          <w:highlight w:val="none"/>
          <w:lang w:val="en-US" w:eastAsia="zh-CN" w:bidi="ar"/>
        </w:rPr>
        <w:t>2.政府性基金预算财政拨款收入</w:t>
      </w:r>
      <w:r>
        <w:rPr>
          <w:rFonts w:ascii="仿宋" w:hAnsi="仿宋" w:eastAsia="仿宋" w:cs="仿宋"/>
          <w:color w:val="auto"/>
          <w:sz w:val="32"/>
          <w:u w:color="auto"/>
        </w:rPr>
        <w:t>0.00</w:t>
      </w:r>
      <w:r>
        <w:rPr>
          <w:rFonts w:hint="eastAsia" w:ascii="仿宋" w:hAnsi="仿宋" w:eastAsia="仿宋" w:cs="仿宋"/>
          <w:color w:val="auto"/>
          <w:kern w:val="2"/>
          <w:sz w:val="32"/>
          <w:szCs w:val="32"/>
          <w:highlight w:val="none"/>
          <w:lang w:val="en-US" w:eastAsia="zh-CN" w:bidi="ar"/>
        </w:rPr>
        <w:t>万元，为自治区本级财政当年拨付的资金。较2021年度决算数</w:t>
      </w:r>
      <w:r>
        <w:rPr>
          <w:rFonts w:ascii="仿宋" w:hAnsi="仿宋" w:eastAsia="仿宋" w:cs="仿宋"/>
          <w:color w:val="auto"/>
          <w:sz w:val="32"/>
          <w:u w:color="auto"/>
        </w:rPr>
        <w:t>增加0.00</w:t>
      </w:r>
      <w:r>
        <w:rPr>
          <w:rFonts w:hint="eastAsia" w:ascii="仿宋" w:hAnsi="仿宋" w:eastAsia="仿宋" w:cs="仿宋"/>
          <w:color w:val="auto"/>
          <w:kern w:val="2"/>
          <w:sz w:val="32"/>
          <w:szCs w:val="32"/>
          <w:highlight w:val="none"/>
          <w:lang w:val="en-US" w:eastAsia="zh-CN" w:bidi="ar"/>
        </w:rPr>
        <w:t>万元，</w:t>
      </w:r>
      <w:r>
        <w:rPr>
          <w:rFonts w:ascii="仿宋" w:hAnsi="仿宋" w:eastAsia="仿宋" w:cs="仿宋"/>
          <w:color w:val="auto"/>
          <w:sz w:val="32"/>
          <w:u w:color="auto"/>
        </w:rPr>
        <w:t>增长0%</w:t>
      </w:r>
      <w:r>
        <w:rPr>
          <w:rFonts w:hint="eastAsia" w:ascii="仿宋" w:hAnsi="仿宋" w:eastAsia="仿宋" w:cs="仿宋"/>
          <w:color w:val="auto"/>
          <w:kern w:val="2"/>
          <w:sz w:val="32"/>
          <w:szCs w:val="32"/>
          <w:highlight w:val="none"/>
          <w:lang w:val="en-US" w:eastAsia="zh-CN" w:bidi="ar"/>
        </w:rPr>
        <w:t>，</w:t>
      </w:r>
      <w:r>
        <w:rPr>
          <w:rFonts w:hint="eastAsia" w:ascii="仿宋" w:hAnsi="仿宋" w:eastAsia="仿宋" w:cs="仿宋"/>
          <w:color w:val="auto"/>
          <w:kern w:val="2"/>
          <w:sz w:val="32"/>
          <w:szCs w:val="32"/>
          <w:highlight w:val="none"/>
          <w:lang w:val="en-US" w:eastAsia="zh-CN" w:bidi="ar"/>
        </w:rPr>
        <w:t>主要原因：本部门无政府性基金预算财政拨款收。</w:t>
      </w:r>
    </w:p>
    <w:p>
      <w:pPr>
        <w:keepNext w:val="0"/>
        <w:keepLines w:val="0"/>
        <w:widowControl w:val="0"/>
        <w:suppressLineNumbers w:val="0"/>
        <w:spacing w:before="0" w:beforeAutospacing="0" w:after="0" w:afterAutospacing="0"/>
        <w:ind w:left="0" w:right="0" w:firstLine="640" w:firstLineChars="200"/>
        <w:jc w:val="left"/>
        <w:rPr>
          <w:rFonts w:hint="eastAsia" w:ascii="仿宋" w:hAnsi="仿宋" w:eastAsia="仿宋" w:cs="仿宋"/>
          <w:color w:val="auto"/>
          <w:sz w:val="32"/>
          <w:szCs w:val="32"/>
          <w:highlight w:val="none"/>
          <w:lang w:val="en-US"/>
        </w:rPr>
      </w:pPr>
      <w:r>
        <w:rPr>
          <w:rFonts w:hint="eastAsia" w:ascii="仿宋" w:hAnsi="仿宋" w:eastAsia="仿宋" w:cs="仿宋"/>
          <w:color w:val="auto"/>
          <w:kern w:val="2"/>
          <w:sz w:val="32"/>
          <w:szCs w:val="32"/>
          <w:highlight w:val="none"/>
          <w:lang w:val="en-US" w:eastAsia="zh-CN" w:bidi="ar"/>
        </w:rPr>
        <w:t>3.国有资本经营预算财政拨款收入</w:t>
      </w:r>
      <w:r>
        <w:rPr>
          <w:rFonts w:ascii="仿宋" w:hAnsi="仿宋" w:eastAsia="仿宋" w:cs="仿宋"/>
          <w:color w:val="auto"/>
          <w:sz w:val="32"/>
          <w:u w:color="auto"/>
        </w:rPr>
        <w:t>0.00</w:t>
      </w:r>
      <w:r>
        <w:rPr>
          <w:rFonts w:hint="eastAsia" w:ascii="仿宋" w:hAnsi="仿宋" w:eastAsia="仿宋" w:cs="仿宋"/>
          <w:color w:val="auto"/>
          <w:kern w:val="2"/>
          <w:sz w:val="32"/>
          <w:szCs w:val="32"/>
          <w:highlight w:val="none"/>
          <w:lang w:val="en-US" w:eastAsia="zh-CN" w:bidi="ar"/>
        </w:rPr>
        <w:t>万元。为</w:t>
      </w:r>
      <w:r>
        <w:rPr>
          <w:rFonts w:hint="eastAsia" w:ascii="仿宋" w:hAnsi="仿宋" w:eastAsia="仿宋" w:cs="Times New Roman"/>
          <w:color w:val="auto"/>
          <w:kern w:val="2"/>
          <w:sz w:val="32"/>
          <w:szCs w:val="32"/>
          <w:highlight w:val="none"/>
          <w:lang w:val="en-US" w:eastAsia="zh-CN" w:bidi="ar"/>
        </w:rPr>
        <w:t>河池市生态环境局</w:t>
      </w:r>
      <w:r>
        <w:rPr>
          <w:rFonts w:hint="eastAsia" w:ascii="仿宋" w:hAnsi="仿宋" w:eastAsia="仿宋" w:cs="仿宋"/>
          <w:color w:val="auto"/>
          <w:kern w:val="2"/>
          <w:sz w:val="32"/>
          <w:szCs w:val="32"/>
          <w:highlight w:val="none"/>
          <w:lang w:val="en-US" w:eastAsia="zh-CN" w:bidi="ar"/>
        </w:rPr>
        <w:t>本级财政当年拨付的资金。较2021年度决算数</w:t>
      </w:r>
      <w:r>
        <w:rPr>
          <w:rFonts w:ascii="仿宋" w:hAnsi="仿宋" w:eastAsia="仿宋" w:cs="仿宋"/>
          <w:color w:val="auto"/>
          <w:sz w:val="32"/>
          <w:u w:color="auto"/>
        </w:rPr>
        <w:t>增加0.00</w:t>
      </w:r>
      <w:r>
        <w:rPr>
          <w:rFonts w:hint="eastAsia" w:ascii="仿宋" w:hAnsi="仿宋" w:eastAsia="仿宋" w:cs="仿宋"/>
          <w:color w:val="auto"/>
          <w:kern w:val="2"/>
          <w:sz w:val="32"/>
          <w:szCs w:val="32"/>
          <w:highlight w:val="none"/>
          <w:lang w:val="en-US" w:eastAsia="zh-CN" w:bidi="ar"/>
        </w:rPr>
        <w:t>万元,</w:t>
      </w:r>
      <w:r>
        <w:rPr>
          <w:rFonts w:ascii="仿宋" w:hAnsi="仿宋" w:eastAsia="仿宋" w:cs="仿宋"/>
          <w:color w:val="auto"/>
          <w:sz w:val="32"/>
          <w:u w:color="auto"/>
        </w:rPr>
        <w:t>增长0%</w:t>
      </w:r>
      <w:r>
        <w:rPr>
          <w:rFonts w:hint="eastAsia" w:ascii="仿宋" w:hAnsi="仿宋" w:eastAsia="仿宋" w:cs="仿宋"/>
          <w:color w:val="auto"/>
          <w:kern w:val="2"/>
          <w:sz w:val="32"/>
          <w:szCs w:val="32"/>
          <w:highlight w:val="none"/>
          <w:lang w:val="en-US" w:eastAsia="zh-CN" w:bidi="ar"/>
        </w:rPr>
        <w:t>，</w:t>
      </w:r>
      <w:r>
        <w:rPr>
          <w:rFonts w:hint="eastAsia" w:ascii="仿宋" w:hAnsi="仿宋" w:eastAsia="仿宋" w:cs="仿宋"/>
          <w:color w:val="auto"/>
          <w:kern w:val="2"/>
          <w:sz w:val="32"/>
          <w:szCs w:val="32"/>
          <w:highlight w:val="none"/>
          <w:lang w:val="en-US" w:eastAsia="zh-CN" w:bidi="ar"/>
        </w:rPr>
        <w:t>主要原因是：本部门无国有资本经营预算财政拨款收入。</w:t>
      </w:r>
    </w:p>
    <w:p>
      <w:pPr>
        <w:keepNext w:val="0"/>
        <w:keepLines w:val="0"/>
        <w:widowControl w:val="0"/>
        <w:suppressLineNumbers w:val="0"/>
        <w:spacing w:before="0" w:beforeAutospacing="0" w:after="0" w:afterAutospacing="0"/>
        <w:ind w:left="0" w:right="0" w:firstLine="640" w:firstLineChars="200"/>
        <w:jc w:val="left"/>
        <w:rPr>
          <w:rFonts w:hint="eastAsia" w:ascii="仿宋" w:hAnsi="仿宋" w:eastAsia="仿宋" w:cs="仿宋"/>
          <w:color w:val="auto"/>
          <w:sz w:val="32"/>
          <w:szCs w:val="32"/>
          <w:highlight w:val="none"/>
          <w:lang w:val="en-US"/>
        </w:rPr>
      </w:pPr>
      <w:r>
        <w:rPr>
          <w:rFonts w:hint="eastAsia" w:ascii="仿宋" w:hAnsi="仿宋" w:eastAsia="仿宋" w:cs="仿宋"/>
          <w:color w:val="auto"/>
          <w:kern w:val="2"/>
          <w:sz w:val="32"/>
          <w:szCs w:val="32"/>
          <w:highlight w:val="none"/>
          <w:lang w:val="en-US" w:eastAsia="zh-CN" w:bidi="ar"/>
        </w:rPr>
        <w:t>4.上级补助收入</w:t>
      </w:r>
      <w:r>
        <w:rPr>
          <w:rFonts w:ascii="仿宋" w:hAnsi="仿宋" w:eastAsia="仿宋" w:cs="仿宋"/>
          <w:color w:val="auto"/>
          <w:sz w:val="32"/>
          <w:u w:color="auto"/>
        </w:rPr>
        <w:t>0.00</w:t>
      </w:r>
      <w:r>
        <w:rPr>
          <w:rFonts w:hint="eastAsia" w:ascii="仿宋" w:hAnsi="仿宋" w:eastAsia="仿宋" w:cs="仿宋"/>
          <w:color w:val="auto"/>
          <w:kern w:val="2"/>
          <w:sz w:val="32"/>
          <w:szCs w:val="32"/>
          <w:highlight w:val="none"/>
          <w:lang w:val="en-US" w:eastAsia="zh-CN" w:bidi="ar"/>
        </w:rPr>
        <w:t> 万元，为上级部门当年拨付的资金。较2021年度决算数</w:t>
      </w:r>
      <w:r>
        <w:rPr>
          <w:rFonts w:ascii="仿宋" w:hAnsi="仿宋" w:eastAsia="仿宋" w:cs="仿宋"/>
          <w:color w:val="auto"/>
          <w:sz w:val="32"/>
          <w:u w:color="auto"/>
        </w:rPr>
        <w:t>增加0.00</w:t>
      </w:r>
      <w:r>
        <w:rPr>
          <w:rFonts w:hint="eastAsia" w:ascii="仿宋" w:hAnsi="仿宋" w:eastAsia="仿宋" w:cs="仿宋"/>
          <w:color w:val="auto"/>
          <w:kern w:val="2"/>
          <w:sz w:val="32"/>
          <w:szCs w:val="32"/>
          <w:highlight w:val="none"/>
          <w:lang w:val="en-US" w:eastAsia="zh-CN" w:bidi="ar"/>
        </w:rPr>
        <w:t>万元,</w:t>
      </w:r>
      <w:r>
        <w:rPr>
          <w:rFonts w:ascii="仿宋" w:hAnsi="仿宋" w:eastAsia="仿宋" w:cs="仿宋"/>
          <w:color w:val="auto"/>
          <w:sz w:val="32"/>
          <w:u w:color="auto"/>
        </w:rPr>
        <w:t>增长0%</w:t>
      </w:r>
      <w:r>
        <w:rPr>
          <w:rFonts w:hint="eastAsia" w:ascii="仿宋" w:hAnsi="仿宋" w:eastAsia="仿宋" w:cs="仿宋"/>
          <w:color w:val="auto"/>
          <w:kern w:val="2"/>
          <w:sz w:val="32"/>
          <w:szCs w:val="32"/>
          <w:highlight w:val="none"/>
          <w:lang w:val="en-US" w:eastAsia="zh-CN" w:bidi="ar"/>
        </w:rPr>
        <w:t>，</w:t>
      </w:r>
      <w:r>
        <w:rPr>
          <w:rFonts w:hint="eastAsia" w:ascii="仿宋" w:hAnsi="仿宋" w:eastAsia="仿宋" w:cs="仿宋"/>
          <w:color w:val="auto"/>
          <w:kern w:val="2"/>
          <w:sz w:val="32"/>
          <w:szCs w:val="32"/>
          <w:highlight w:val="none"/>
          <w:lang w:val="en-US" w:eastAsia="zh-CN" w:bidi="ar"/>
        </w:rPr>
        <w:t>主要原因是：本部门没有上级补助收入。</w:t>
      </w:r>
    </w:p>
    <w:p>
      <w:pPr>
        <w:keepNext w:val="0"/>
        <w:keepLines w:val="0"/>
        <w:widowControl w:val="0"/>
        <w:suppressLineNumbers w:val="0"/>
        <w:spacing w:before="0" w:beforeAutospacing="0" w:after="0" w:afterAutospacing="0"/>
        <w:ind w:left="0" w:right="0" w:firstLine="640" w:firstLineChars="200"/>
        <w:jc w:val="left"/>
        <w:rPr>
          <w:rFonts w:hint="eastAsia" w:ascii="仿宋" w:hAnsi="仿宋" w:eastAsia="仿宋" w:cs="仿宋"/>
          <w:color w:val="auto"/>
          <w:sz w:val="32"/>
          <w:szCs w:val="32"/>
          <w:highlight w:val="none"/>
          <w:lang w:val="en-US"/>
        </w:rPr>
      </w:pPr>
      <w:r>
        <w:rPr>
          <w:rFonts w:hint="eastAsia" w:ascii="仿宋" w:hAnsi="仿宋" w:eastAsia="仿宋" w:cs="仿宋"/>
          <w:color w:val="auto"/>
          <w:kern w:val="2"/>
          <w:sz w:val="32"/>
          <w:szCs w:val="32"/>
          <w:highlight w:val="none"/>
          <w:lang w:val="en-US" w:eastAsia="zh-CN" w:bidi="ar"/>
        </w:rPr>
        <w:t>5.事业收入</w:t>
      </w:r>
      <w:r>
        <w:rPr>
          <w:rFonts w:ascii="仿宋" w:hAnsi="仿宋" w:eastAsia="仿宋" w:cs="仿宋"/>
          <w:color w:val="auto"/>
          <w:sz w:val="32"/>
          <w:u w:color="auto"/>
        </w:rPr>
        <w:t>0.00</w:t>
      </w:r>
      <w:r>
        <w:rPr>
          <w:rFonts w:hint="eastAsia" w:ascii="仿宋" w:hAnsi="仿宋" w:eastAsia="仿宋" w:cs="仿宋"/>
          <w:color w:val="auto"/>
          <w:kern w:val="2"/>
          <w:sz w:val="32"/>
          <w:szCs w:val="32"/>
          <w:highlight w:val="none"/>
          <w:lang w:val="en-US" w:eastAsia="zh-CN" w:bidi="ar"/>
        </w:rPr>
        <w:t> 万元，为事业单位开展业务活动取得的收入。较2021年度决算数</w:t>
      </w:r>
      <w:r>
        <w:rPr>
          <w:rFonts w:ascii="仿宋" w:hAnsi="仿宋" w:eastAsia="仿宋" w:cs="仿宋"/>
          <w:color w:val="auto"/>
          <w:sz w:val="32"/>
          <w:u w:color="auto"/>
        </w:rPr>
        <w:t>增加0.00</w:t>
      </w:r>
      <w:r>
        <w:rPr>
          <w:rFonts w:hint="eastAsia" w:ascii="仿宋" w:hAnsi="仿宋" w:eastAsia="仿宋" w:cs="仿宋"/>
          <w:color w:val="auto"/>
          <w:kern w:val="2"/>
          <w:sz w:val="32"/>
          <w:szCs w:val="32"/>
          <w:highlight w:val="none"/>
          <w:lang w:val="en-US" w:eastAsia="zh-CN" w:bidi="ar"/>
        </w:rPr>
        <w:t>万元,</w:t>
      </w:r>
      <w:r>
        <w:rPr>
          <w:rFonts w:ascii="仿宋" w:hAnsi="仿宋" w:eastAsia="仿宋" w:cs="仿宋"/>
          <w:color w:val="auto"/>
          <w:sz w:val="32"/>
          <w:u w:color="auto"/>
        </w:rPr>
        <w:t>增长0%</w:t>
      </w:r>
      <w:r>
        <w:rPr>
          <w:rFonts w:hint="eastAsia" w:ascii="仿宋" w:hAnsi="仿宋" w:eastAsia="仿宋" w:cs="仿宋"/>
          <w:color w:val="auto"/>
          <w:kern w:val="2"/>
          <w:sz w:val="32"/>
          <w:szCs w:val="32"/>
          <w:highlight w:val="none"/>
          <w:lang w:val="en-US" w:eastAsia="zh-CN" w:bidi="ar"/>
        </w:rPr>
        <w:t>，</w:t>
      </w:r>
      <w:r>
        <w:rPr>
          <w:rFonts w:hint="eastAsia" w:ascii="仿宋" w:hAnsi="仿宋" w:eastAsia="仿宋" w:cs="仿宋"/>
          <w:color w:val="auto"/>
          <w:kern w:val="2"/>
          <w:sz w:val="32"/>
          <w:szCs w:val="32"/>
          <w:highlight w:val="none"/>
          <w:lang w:val="en-US" w:eastAsia="zh-CN" w:bidi="ar"/>
        </w:rPr>
        <w:t>主要原因是：本部门没有事业收入。</w:t>
      </w:r>
    </w:p>
    <w:p>
      <w:pPr>
        <w:keepNext w:val="0"/>
        <w:keepLines w:val="0"/>
        <w:widowControl w:val="0"/>
        <w:suppressLineNumbers w:val="0"/>
        <w:spacing w:before="0" w:beforeAutospacing="0" w:after="0" w:afterAutospacing="0"/>
        <w:ind w:left="0" w:right="0" w:firstLine="640" w:firstLineChars="200"/>
        <w:jc w:val="left"/>
        <w:rPr>
          <w:rFonts w:hint="eastAsia" w:ascii="仿宋" w:hAnsi="仿宋" w:eastAsia="仿宋" w:cs="仿宋"/>
          <w:color w:val="auto"/>
          <w:sz w:val="32"/>
          <w:szCs w:val="32"/>
          <w:highlight w:val="none"/>
          <w:lang w:val="en-US"/>
        </w:rPr>
      </w:pPr>
      <w:r>
        <w:rPr>
          <w:rFonts w:hint="eastAsia" w:ascii="仿宋" w:hAnsi="仿宋" w:eastAsia="仿宋" w:cs="仿宋"/>
          <w:color w:val="auto"/>
          <w:kern w:val="2"/>
          <w:sz w:val="32"/>
          <w:szCs w:val="32"/>
          <w:highlight w:val="none"/>
          <w:lang w:val="en-US" w:eastAsia="zh-CN" w:bidi="ar"/>
        </w:rPr>
        <w:t>6.</w:t>
      </w:r>
      <w:r>
        <w:rPr>
          <w:rFonts w:hint="eastAsia" w:ascii="仿宋" w:hAnsi="仿宋" w:eastAsia="仿宋" w:cs="仿宋"/>
          <w:color w:val="auto"/>
          <w:kern w:val="2"/>
          <w:sz w:val="36"/>
          <w:szCs w:val="36"/>
          <w:highlight w:val="none"/>
          <w:lang w:val="en-US" w:eastAsia="zh-CN" w:bidi="ar"/>
        </w:rPr>
        <w:t>经营收入</w:t>
      </w:r>
      <w:r>
        <w:rPr>
          <w:rFonts w:hint="eastAsia" w:ascii="仿宋" w:hAnsi="仿宋" w:eastAsia="仿宋" w:cs="仿宋"/>
          <w:color w:val="auto"/>
          <w:kern w:val="2"/>
          <w:sz w:val="32"/>
          <w:szCs w:val="32"/>
          <w:highlight w:val="none"/>
          <w:lang w:val="en-US" w:eastAsia="zh-CN" w:bidi="ar"/>
        </w:rPr>
        <w:t>0.00万,为事业单位在业务活动之外开展非独立核算经营活动取得的收入。较2021年度决算数</w:t>
      </w:r>
      <w:r>
        <w:rPr>
          <w:rFonts w:ascii="仿宋" w:hAnsi="仿宋" w:eastAsia="仿宋" w:cs="仿宋"/>
          <w:color w:val="auto"/>
          <w:sz w:val="32"/>
          <w:u w:color="auto"/>
        </w:rPr>
        <w:t>增加0.00</w:t>
      </w:r>
      <w:r>
        <w:rPr>
          <w:rFonts w:hint="eastAsia" w:ascii="仿宋" w:hAnsi="仿宋" w:eastAsia="仿宋" w:cs="仿宋"/>
          <w:color w:val="auto"/>
          <w:kern w:val="2"/>
          <w:sz w:val="32"/>
          <w:szCs w:val="32"/>
          <w:highlight w:val="none"/>
          <w:lang w:val="en-US" w:eastAsia="zh-CN" w:bidi="ar"/>
        </w:rPr>
        <w:t>万元，</w:t>
      </w:r>
      <w:r>
        <w:rPr>
          <w:rFonts w:ascii="仿宋" w:hAnsi="仿宋" w:eastAsia="仿宋" w:cs="仿宋"/>
          <w:color w:val="auto"/>
          <w:sz w:val="32"/>
          <w:u w:color="auto"/>
        </w:rPr>
        <w:t>增长0%</w:t>
      </w:r>
      <w:r>
        <w:rPr>
          <w:rFonts w:hint="eastAsia" w:ascii="仿宋" w:hAnsi="仿宋" w:eastAsia="仿宋" w:cs="仿宋"/>
          <w:color w:val="auto"/>
          <w:kern w:val="2"/>
          <w:sz w:val="32"/>
          <w:szCs w:val="32"/>
          <w:highlight w:val="none"/>
          <w:lang w:val="en-US" w:eastAsia="zh-CN" w:bidi="ar"/>
        </w:rPr>
        <w:t>，</w:t>
      </w:r>
      <w:r>
        <w:rPr>
          <w:rFonts w:hint="eastAsia" w:ascii="仿宋" w:hAnsi="仿宋" w:eastAsia="仿宋" w:cs="仿宋"/>
          <w:color w:val="auto"/>
          <w:kern w:val="2"/>
          <w:sz w:val="32"/>
          <w:szCs w:val="32"/>
          <w:highlight w:val="none"/>
          <w:lang w:val="en-US" w:eastAsia="zh-CN" w:bidi="ar"/>
        </w:rPr>
        <w:t>主要原因是：本部门没有经营性收入。</w:t>
      </w:r>
    </w:p>
    <w:p>
      <w:pPr>
        <w:keepNext w:val="0"/>
        <w:keepLines w:val="0"/>
        <w:widowControl w:val="0"/>
        <w:suppressLineNumbers w:val="0"/>
        <w:spacing w:before="0" w:beforeAutospacing="0" w:after="0" w:afterAutospacing="0"/>
        <w:ind w:left="0" w:right="0" w:firstLine="640" w:firstLineChars="200"/>
        <w:jc w:val="left"/>
        <w:rPr>
          <w:rFonts w:hint="eastAsia" w:ascii="仿宋" w:hAnsi="仿宋" w:eastAsia="仿宋" w:cs="仿宋"/>
          <w:color w:val="auto"/>
          <w:sz w:val="32"/>
          <w:szCs w:val="32"/>
          <w:highlight w:val="none"/>
          <w:lang w:val="en-US"/>
        </w:rPr>
      </w:pPr>
      <w:r>
        <w:rPr>
          <w:rFonts w:hint="eastAsia" w:ascii="仿宋" w:hAnsi="仿宋" w:eastAsia="仿宋" w:cs="仿宋"/>
          <w:color w:val="auto"/>
          <w:kern w:val="2"/>
          <w:sz w:val="32"/>
          <w:szCs w:val="32"/>
          <w:highlight w:val="none"/>
          <w:lang w:val="en-US" w:eastAsia="zh-CN" w:bidi="ar"/>
        </w:rPr>
        <w:t>7.附属单位上缴收入</w:t>
      </w:r>
      <w:r>
        <w:rPr>
          <w:rFonts w:ascii="仿宋" w:hAnsi="仿宋" w:eastAsia="仿宋" w:cs="仿宋"/>
          <w:color w:val="auto"/>
          <w:sz w:val="32"/>
          <w:u w:color="auto"/>
        </w:rPr>
        <w:t>0.00</w:t>
      </w:r>
      <w:r>
        <w:rPr>
          <w:rFonts w:hint="eastAsia" w:ascii="仿宋" w:hAnsi="仿宋" w:eastAsia="仿宋" w:cs="仿宋"/>
          <w:color w:val="auto"/>
          <w:kern w:val="2"/>
          <w:sz w:val="32"/>
          <w:szCs w:val="32"/>
          <w:highlight w:val="none"/>
          <w:lang w:val="en-US" w:eastAsia="zh-CN" w:bidi="ar"/>
        </w:rPr>
        <w:t> 万元。较2021年度决算数</w:t>
      </w:r>
      <w:r>
        <w:rPr>
          <w:rFonts w:ascii="仿宋" w:hAnsi="仿宋" w:eastAsia="仿宋" w:cs="仿宋"/>
          <w:color w:val="auto"/>
          <w:sz w:val="32"/>
          <w:u w:color="auto"/>
        </w:rPr>
        <w:t>增加0.00</w:t>
      </w:r>
      <w:r>
        <w:rPr>
          <w:rFonts w:hint="eastAsia" w:ascii="仿宋" w:hAnsi="仿宋" w:eastAsia="仿宋" w:cs="仿宋"/>
          <w:color w:val="auto"/>
          <w:kern w:val="2"/>
          <w:sz w:val="32"/>
          <w:szCs w:val="32"/>
          <w:highlight w:val="none"/>
          <w:lang w:val="en-US" w:eastAsia="zh-CN" w:bidi="ar"/>
        </w:rPr>
        <w:t>万元，</w:t>
      </w:r>
      <w:r>
        <w:rPr>
          <w:rFonts w:ascii="仿宋" w:hAnsi="仿宋" w:eastAsia="仿宋" w:cs="仿宋"/>
          <w:color w:val="auto"/>
          <w:sz w:val="32"/>
          <w:u w:color="auto"/>
        </w:rPr>
        <w:t>增长0%</w:t>
      </w:r>
      <w:r>
        <w:rPr>
          <w:rFonts w:hint="eastAsia" w:ascii="仿宋" w:hAnsi="仿宋" w:eastAsia="仿宋" w:cs="仿宋"/>
          <w:color w:val="auto"/>
          <w:kern w:val="2"/>
          <w:sz w:val="32"/>
          <w:szCs w:val="32"/>
          <w:highlight w:val="none"/>
          <w:lang w:val="en-US" w:eastAsia="zh-CN" w:bidi="ar"/>
        </w:rPr>
        <w:t>，</w:t>
      </w:r>
      <w:r>
        <w:rPr>
          <w:rFonts w:hint="eastAsia" w:ascii="仿宋" w:hAnsi="仿宋" w:eastAsia="仿宋" w:cs="仿宋"/>
          <w:color w:val="auto"/>
          <w:kern w:val="2"/>
          <w:sz w:val="32"/>
          <w:szCs w:val="32"/>
          <w:highlight w:val="none"/>
          <w:lang w:val="en-US" w:eastAsia="zh-CN" w:bidi="ar"/>
        </w:rPr>
        <w:t>主要原因是：本部门无附属单位上缴收入。</w:t>
      </w:r>
    </w:p>
    <w:p>
      <w:pPr>
        <w:keepNext w:val="0"/>
        <w:keepLines w:val="0"/>
        <w:widowControl w:val="0"/>
        <w:suppressLineNumbers w:val="0"/>
        <w:spacing w:before="0" w:beforeAutospacing="0" w:after="0" w:afterAutospacing="0"/>
        <w:ind w:left="0" w:right="0" w:firstLine="640" w:firstLineChars="200"/>
        <w:jc w:val="left"/>
        <w:rPr>
          <w:rFonts w:hint="eastAsia" w:ascii="仿宋" w:hAnsi="仿宋" w:eastAsia="仿宋" w:cs="仿宋"/>
          <w:color w:val="auto"/>
          <w:sz w:val="32"/>
          <w:szCs w:val="32"/>
          <w:highlight w:val="none"/>
          <w:lang w:val="en-US"/>
        </w:rPr>
      </w:pPr>
      <w:r>
        <w:rPr>
          <w:rFonts w:hint="eastAsia" w:ascii="仿宋" w:hAnsi="仿宋" w:eastAsia="仿宋" w:cs="仿宋"/>
          <w:color w:val="auto"/>
          <w:kern w:val="2"/>
          <w:sz w:val="32"/>
          <w:szCs w:val="32"/>
          <w:highlight w:val="none"/>
          <w:lang w:val="en-US" w:eastAsia="zh-CN" w:bidi="ar"/>
        </w:rPr>
        <w:t>8.其他收入</w:t>
      </w:r>
      <w:r>
        <w:rPr>
          <w:rFonts w:ascii="仿宋" w:hAnsi="仿宋" w:eastAsia="仿宋" w:cs="仿宋"/>
          <w:color w:val="auto"/>
          <w:sz w:val="32"/>
          <w:u w:color="auto"/>
        </w:rPr>
        <w:t>0.00</w:t>
      </w:r>
      <w:r>
        <w:rPr>
          <w:rFonts w:hint="eastAsia" w:ascii="仿宋" w:hAnsi="仿宋" w:eastAsia="仿宋" w:cs="仿宋"/>
          <w:color w:val="auto"/>
          <w:kern w:val="2"/>
          <w:sz w:val="32"/>
          <w:szCs w:val="32"/>
          <w:highlight w:val="none"/>
          <w:lang w:val="en-US" w:eastAsia="zh-CN" w:bidi="ar"/>
        </w:rPr>
        <w:t>万元,为预算单位在“财政拨款收入”“事业收入”“经营收入”之外取得的收入。较2021年度决算数</w:t>
      </w:r>
      <w:r>
        <w:rPr>
          <w:rFonts w:ascii="仿宋" w:hAnsi="仿宋" w:eastAsia="仿宋" w:cs="仿宋"/>
          <w:color w:val="auto"/>
          <w:sz w:val="32"/>
          <w:u w:color="auto"/>
        </w:rPr>
        <w:t>增加0.00</w:t>
      </w:r>
      <w:r>
        <w:rPr>
          <w:rFonts w:hint="eastAsia" w:ascii="仿宋" w:hAnsi="仿宋" w:eastAsia="仿宋" w:cs="仿宋"/>
          <w:color w:val="auto"/>
          <w:kern w:val="2"/>
          <w:sz w:val="32"/>
          <w:szCs w:val="32"/>
          <w:highlight w:val="none"/>
          <w:lang w:val="en-US" w:eastAsia="zh-CN" w:bidi="ar"/>
        </w:rPr>
        <w:t>万元，</w:t>
      </w:r>
      <w:r>
        <w:rPr>
          <w:rFonts w:ascii="仿宋" w:hAnsi="仿宋" w:eastAsia="仿宋" w:cs="仿宋"/>
          <w:color w:val="auto"/>
          <w:sz w:val="32"/>
          <w:u w:color="auto"/>
        </w:rPr>
        <w:t>增长0%</w:t>
      </w:r>
      <w:r>
        <w:rPr>
          <w:rFonts w:hint="eastAsia" w:ascii="仿宋" w:hAnsi="仿宋" w:eastAsia="仿宋" w:cs="仿宋"/>
          <w:color w:val="auto"/>
          <w:kern w:val="2"/>
          <w:sz w:val="32"/>
          <w:szCs w:val="32"/>
          <w:highlight w:val="none"/>
          <w:lang w:val="en-US" w:eastAsia="zh-CN" w:bidi="ar"/>
        </w:rPr>
        <w:t>，</w:t>
      </w:r>
      <w:r>
        <w:rPr>
          <w:rFonts w:hint="eastAsia" w:ascii="仿宋" w:hAnsi="仿宋" w:eastAsia="仿宋" w:cs="仿宋"/>
          <w:color w:val="auto"/>
          <w:kern w:val="2"/>
          <w:sz w:val="32"/>
          <w:szCs w:val="32"/>
          <w:highlight w:val="none"/>
          <w:lang w:val="en-US" w:eastAsia="zh-CN" w:bidi="ar"/>
        </w:rPr>
        <w:t>主要原因是：本部门没有其他收入。</w:t>
      </w:r>
    </w:p>
    <w:p>
      <w:pPr>
        <w:keepNext w:val="0"/>
        <w:keepLines w:val="0"/>
        <w:widowControl w:val="0"/>
        <w:suppressLineNumbers w:val="0"/>
        <w:spacing w:before="0" w:beforeAutospacing="0" w:after="0" w:afterAutospacing="0"/>
        <w:ind w:left="0" w:right="0" w:firstLine="640" w:firstLineChars="200"/>
        <w:jc w:val="left"/>
        <w:rPr>
          <w:rFonts w:hint="eastAsia" w:ascii="仿宋" w:hAnsi="仿宋" w:eastAsia="仿宋" w:cs="仿宋"/>
          <w:color w:val="auto"/>
          <w:sz w:val="32"/>
          <w:szCs w:val="32"/>
          <w:highlight w:val="none"/>
          <w:lang w:val="en-US"/>
        </w:rPr>
      </w:pPr>
      <w:r>
        <w:rPr>
          <w:rFonts w:hint="eastAsia" w:ascii="仿宋" w:hAnsi="仿宋" w:eastAsia="仿宋" w:cs="仿宋"/>
          <w:color w:val="auto"/>
          <w:kern w:val="2"/>
          <w:sz w:val="32"/>
          <w:szCs w:val="32"/>
          <w:highlight w:val="none"/>
          <w:lang w:val="en-US" w:eastAsia="zh-CN" w:bidi="ar"/>
        </w:rPr>
        <w:t>9.使用非财政拨款结余</w:t>
      </w:r>
      <w:r>
        <w:rPr>
          <w:rFonts w:ascii="仿宋" w:hAnsi="仿宋" w:eastAsia="仿宋" w:cs="仿宋"/>
          <w:color w:val="auto"/>
          <w:sz w:val="32"/>
          <w:u w:color="auto"/>
        </w:rPr>
        <w:t>0.00</w:t>
      </w:r>
      <w:r>
        <w:rPr>
          <w:rFonts w:hint="eastAsia" w:ascii="仿宋" w:hAnsi="仿宋" w:eastAsia="仿宋" w:cs="仿宋"/>
          <w:color w:val="auto"/>
          <w:kern w:val="2"/>
          <w:sz w:val="32"/>
          <w:szCs w:val="32"/>
          <w:highlight w:val="none"/>
          <w:lang w:val="en-US" w:eastAsia="zh-CN" w:bidi="ar"/>
        </w:rPr>
        <w:t>万元,主要是所属事业单位在当年的“财政拨款收入”“事业收入”“经营收入”及“其他收入”不能保证其支出的情况下，使用以前年度积累的非财政拨款结余弥补本年度收支缺口的资金。较2021年度决算数</w:t>
      </w:r>
      <w:r>
        <w:rPr>
          <w:rFonts w:ascii="仿宋" w:hAnsi="仿宋" w:eastAsia="仿宋" w:cs="仿宋"/>
          <w:color w:val="auto"/>
          <w:sz w:val="32"/>
          <w:u w:color="auto"/>
        </w:rPr>
        <w:t>增加0.00</w:t>
      </w:r>
      <w:r>
        <w:rPr>
          <w:rFonts w:hint="eastAsia" w:ascii="仿宋" w:hAnsi="仿宋" w:eastAsia="仿宋" w:cs="仿宋"/>
          <w:color w:val="auto"/>
          <w:kern w:val="2"/>
          <w:sz w:val="32"/>
          <w:szCs w:val="32"/>
          <w:highlight w:val="none"/>
          <w:lang w:val="en-US" w:eastAsia="zh-CN" w:bidi="ar"/>
        </w:rPr>
        <w:t>万元，</w:t>
      </w:r>
      <w:r>
        <w:rPr>
          <w:rFonts w:ascii="仿宋" w:hAnsi="仿宋" w:eastAsia="仿宋" w:cs="仿宋"/>
          <w:color w:val="auto"/>
          <w:sz w:val="32"/>
          <w:u w:color="auto"/>
        </w:rPr>
        <w:t>增长0%</w:t>
      </w:r>
      <w:r>
        <w:rPr>
          <w:rFonts w:hint="eastAsia" w:ascii="仿宋" w:hAnsi="仿宋" w:eastAsia="仿宋" w:cs="仿宋"/>
          <w:color w:val="auto"/>
          <w:kern w:val="2"/>
          <w:sz w:val="32"/>
          <w:szCs w:val="32"/>
          <w:highlight w:val="none"/>
          <w:lang w:val="en-US" w:eastAsia="zh-CN" w:bidi="ar"/>
        </w:rPr>
        <w:t>，</w:t>
      </w:r>
      <w:r>
        <w:rPr>
          <w:rFonts w:hint="eastAsia" w:ascii="仿宋" w:hAnsi="仿宋" w:eastAsia="仿宋" w:cs="仿宋"/>
          <w:color w:val="auto"/>
          <w:kern w:val="2"/>
          <w:sz w:val="32"/>
          <w:szCs w:val="32"/>
          <w:highlight w:val="none"/>
          <w:lang w:val="en-US" w:eastAsia="zh-CN" w:bidi="ar"/>
        </w:rPr>
        <w:t>主要原因是：本部门没有非财政拨款结余。</w:t>
      </w:r>
    </w:p>
    <w:p>
      <w:pPr>
        <w:keepNext w:val="0"/>
        <w:keepLines w:val="0"/>
        <w:widowControl w:val="0"/>
        <w:suppressLineNumbers w:val="0"/>
        <w:spacing w:before="0" w:beforeAutospacing="0" w:after="0" w:afterAutospacing="0"/>
        <w:ind w:left="0" w:right="0" w:firstLine="640" w:firstLineChars="200"/>
        <w:jc w:val="left"/>
        <w:rPr>
          <w:rFonts w:hint="eastAsia" w:ascii="仿宋" w:hAnsi="仿宋" w:eastAsia="仿宋" w:cs="仿宋"/>
          <w:color w:val="auto"/>
          <w:sz w:val="32"/>
          <w:szCs w:val="32"/>
          <w:highlight w:val="none"/>
          <w:lang w:val="en-US"/>
        </w:rPr>
      </w:pPr>
      <w:r>
        <w:rPr>
          <w:rFonts w:hint="eastAsia" w:ascii="仿宋" w:hAnsi="仿宋" w:eastAsia="仿宋" w:cs="仿宋"/>
          <w:color w:val="auto"/>
          <w:kern w:val="2"/>
          <w:sz w:val="32"/>
          <w:szCs w:val="32"/>
          <w:highlight w:val="none"/>
          <w:lang w:val="en-US" w:eastAsia="zh-CN" w:bidi="ar"/>
        </w:rPr>
        <w:t>10.上年结转和结余</w:t>
      </w:r>
      <w:r>
        <w:rPr>
          <w:rFonts w:ascii="仿宋" w:hAnsi="仿宋" w:eastAsia="仿宋" w:cs="仿宋"/>
          <w:color w:val="auto"/>
          <w:sz w:val="32"/>
          <w:u w:color="auto"/>
        </w:rPr>
        <w:t>126.00</w:t>
      </w:r>
      <w:r>
        <w:rPr>
          <w:rFonts w:hint="eastAsia" w:ascii="仿宋" w:hAnsi="仿宋" w:eastAsia="仿宋" w:cs="仿宋"/>
          <w:color w:val="auto"/>
          <w:kern w:val="2"/>
          <w:sz w:val="32"/>
          <w:szCs w:val="32"/>
          <w:highlight w:val="none"/>
          <w:lang w:val="en-US" w:eastAsia="zh-CN" w:bidi="ar"/>
        </w:rPr>
        <w:t>万元，为以前年度支出预算因客观条件变化未执行完毕、结转到本年度按有关规定继续使用的资金。较2021年度决算数</w:t>
      </w:r>
      <w:r>
        <w:rPr>
          <w:rFonts w:ascii="仿宋" w:hAnsi="仿宋" w:eastAsia="仿宋" w:cs="仿宋"/>
          <w:color w:val="auto"/>
          <w:sz w:val="32"/>
          <w:u w:color="auto"/>
        </w:rPr>
        <w:t>减少83.04</w:t>
      </w:r>
      <w:r>
        <w:rPr>
          <w:rFonts w:hint="eastAsia" w:ascii="仿宋" w:hAnsi="仿宋" w:eastAsia="仿宋" w:cs="仿宋"/>
          <w:color w:val="auto"/>
          <w:kern w:val="2"/>
          <w:sz w:val="32"/>
          <w:szCs w:val="32"/>
          <w:highlight w:val="none"/>
          <w:lang w:val="en-US" w:eastAsia="zh-CN" w:bidi="ar"/>
        </w:rPr>
        <w:t>万元，</w:t>
      </w:r>
      <w:r>
        <w:rPr>
          <w:rFonts w:ascii="仿宋" w:hAnsi="仿宋" w:eastAsia="仿宋" w:cs="仿宋"/>
          <w:color w:val="auto"/>
          <w:sz w:val="32"/>
          <w:u w:color="auto"/>
        </w:rPr>
        <w:t>下降39.72%</w:t>
      </w:r>
      <w:r>
        <w:rPr>
          <w:rFonts w:hint="eastAsia" w:ascii="仿宋" w:hAnsi="仿宋" w:eastAsia="仿宋" w:cs="仿宋"/>
          <w:color w:val="auto"/>
          <w:kern w:val="2"/>
          <w:sz w:val="32"/>
          <w:szCs w:val="32"/>
          <w:highlight w:val="none"/>
          <w:lang w:val="en-US" w:eastAsia="zh-CN" w:bidi="ar"/>
        </w:rPr>
        <w:t>，</w:t>
      </w:r>
      <w:r>
        <w:rPr>
          <w:rFonts w:hint="eastAsia" w:ascii="仿宋" w:hAnsi="仿宋" w:eastAsia="仿宋" w:cs="仿宋"/>
          <w:color w:val="auto"/>
          <w:kern w:val="2"/>
          <w:sz w:val="32"/>
          <w:szCs w:val="32"/>
          <w:highlight w:val="none"/>
          <w:lang w:val="en-US" w:eastAsia="zh-CN" w:bidi="ar"/>
        </w:rPr>
        <w:t>主要原因：部分项目已在本年执行完毕，不需要结转至下年继续执行。</w:t>
      </w:r>
    </w:p>
    <w:p>
      <w:pPr>
        <w:jc w:val="center"/>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drawing>
          <wp:inline distT="0" distB="0" distL="114300" distR="114300">
            <wp:extent cx="5080000" cy="3810000"/>
            <wp:effectExtent l="4445" t="4445" r="5715" b="10795"/>
            <wp:docPr id="2" name="图表 2" title="{{img_js_srzc}}"/>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（二）本部门2022年度总支出</w:t>
      </w:r>
      <w:r>
        <w:rPr>
          <w:rFonts w:ascii="仿宋" w:hAnsi="仿宋" w:eastAsia="仿宋" w:cs="仿宋"/>
          <w:color w:val="auto"/>
          <w:sz w:val="32"/>
          <w:u w:color="auto"/>
        </w:rPr>
        <w:t>7778.50</w:t>
      </w:r>
      <w:r>
        <w:rPr>
          <w:rFonts w:hint="eastAsia" w:ascii="仿宋" w:hAnsi="仿宋" w:eastAsia="仿宋" w:cs="仿宋"/>
          <w:color w:val="auto"/>
          <w:sz w:val="32"/>
          <w:szCs w:val="32"/>
          <w:highlight w:val="none"/>
        </w:rPr>
        <w:t>万元，其中本年支出</w:t>
      </w:r>
      <w:r>
        <w:rPr>
          <w:rFonts w:ascii="仿宋" w:hAnsi="仿宋" w:eastAsia="仿宋" w:cs="仿宋"/>
          <w:color w:val="auto"/>
          <w:sz w:val="32"/>
          <w:u w:color="auto"/>
        </w:rPr>
        <w:t>7778.50</w:t>
      </w:r>
      <w:r>
        <w:rPr>
          <w:rFonts w:hint="eastAsia" w:ascii="仿宋" w:hAnsi="仿宋" w:eastAsia="仿宋" w:cs="仿宋"/>
          <w:color w:val="auto"/>
          <w:sz w:val="32"/>
          <w:szCs w:val="32"/>
          <w:highlight w:val="none"/>
        </w:rPr>
        <w:t>万元，较2021年度决算数</w:t>
      </w:r>
      <w:r>
        <w:rPr>
          <w:rFonts w:ascii="仿宋" w:hAnsi="仿宋" w:eastAsia="仿宋" w:cs="仿宋"/>
          <w:color w:val="auto"/>
          <w:sz w:val="32"/>
          <w:u w:color="auto"/>
        </w:rPr>
        <w:t>增加5513.79</w:t>
      </w:r>
      <w:r>
        <w:rPr>
          <w:rFonts w:hint="eastAsia" w:ascii="仿宋" w:hAnsi="仿宋" w:eastAsia="仿宋" w:cs="仿宋"/>
          <w:color w:val="auto"/>
          <w:sz w:val="32"/>
          <w:szCs w:val="32"/>
          <w:highlight w:val="none"/>
        </w:rPr>
        <w:t>万元，</w:t>
      </w:r>
      <w:r>
        <w:rPr>
          <w:rFonts w:ascii="仿宋" w:hAnsi="仿宋" w:eastAsia="仿宋" w:cs="仿宋"/>
          <w:color w:val="auto"/>
          <w:sz w:val="32"/>
          <w:u w:color="auto"/>
        </w:rPr>
        <w:t>增长243.47%</w:t>
      </w:r>
      <w:r>
        <w:rPr>
          <w:rFonts w:hint="eastAsia" w:ascii="仿宋" w:hAnsi="仿宋" w:eastAsia="仿宋" w:cs="仿宋"/>
          <w:color w:val="auto"/>
          <w:sz w:val="32"/>
          <w:szCs w:val="32"/>
          <w:highlight w:val="none"/>
        </w:rPr>
        <w:t>。支出具体情况如下：</w:t>
      </w:r>
    </w:p>
    <w:p>
      <w:pPr>
        <w:keepNext w:val="0"/>
        <w:keepLines w:val="0"/>
        <w:widowControl w:val="0"/>
        <w:suppressLineNumbers w:val="0"/>
        <w:spacing w:before="0" w:beforeAutospacing="0" w:after="0" w:afterAutospacing="0"/>
        <w:ind w:left="0" w:right="0" w:firstLine="640" w:firstLineChars="200"/>
        <w:jc w:val="left"/>
        <w:rPr>
          <w:rFonts w:hint="eastAsia" w:ascii="仿宋" w:hAnsi="仿宋" w:eastAsia="仿宋" w:cs="仿宋"/>
          <w:color w:val="auto"/>
          <w:sz w:val="32"/>
          <w:szCs w:val="32"/>
          <w:highlight w:val="none"/>
          <w:lang w:val="en-US"/>
        </w:rPr>
      </w:pPr>
      <w:r>
        <w:rPr>
          <w:rFonts w:hint="eastAsia" w:ascii="仿宋" w:hAnsi="仿宋" w:eastAsia="仿宋" w:cs="仿宋"/>
          <w:color w:val="auto"/>
          <w:sz w:val="32"/>
          <w:szCs w:val="32"/>
          <w:highlight w:val="none"/>
        </w:rPr>
        <w:t>1</w:t>
      </w:r>
      <w:r>
        <w:rPr>
          <w:rFonts w:ascii="仿宋" w:hAnsi="仿宋" w:eastAsia="仿宋" w:cs="仿宋"/>
          <w:color w:val="auto"/>
          <w:sz w:val="32"/>
          <w:u w:color="auto"/>
        </w:rPr>
        <w:t>.</w:t>
      </w:r>
      <w:r>
        <w:rPr>
          <w:rFonts w:hint="eastAsia" w:ascii="仿宋" w:hAnsi="仿宋" w:eastAsia="仿宋" w:cs="仿宋"/>
          <w:color w:val="auto"/>
          <w:sz w:val="32"/>
          <w:szCs w:val="32"/>
          <w:highlight w:val="none"/>
          <w:lang w:bidi="ar"/>
        </w:rPr>
        <w:t>一般公共服务支出</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bidi="ar"/>
        </w:rPr>
        <w:t>201</w:t>
      </w:r>
      <w:r>
        <w:rPr>
          <w:rFonts w:ascii="Calibri" w:hAnsi="Calibri" w:eastAsia="宋体" w:cs="Times New Roman"/>
          <w:color w:val="auto"/>
          <w:highlight w:val="none"/>
          <w:lang w:bidi="ar"/>
        </w:rPr>
        <w:t xml:space="preserve"> </w:t>
      </w:r>
      <w:r>
        <w:rPr>
          <w:rFonts w:hint="eastAsia" w:ascii="仿宋" w:hAnsi="仿宋" w:eastAsia="仿宋" w:cs="仿宋"/>
          <w:color w:val="auto"/>
          <w:sz w:val="32"/>
          <w:szCs w:val="32"/>
          <w:highlight w:val="none"/>
        </w:rPr>
        <w:t>类）</w:t>
      </w:r>
      <w:r>
        <w:rPr>
          <w:rFonts w:hint="eastAsia" w:ascii="仿宋" w:hAnsi="仿宋" w:eastAsia="仿宋" w:cs="仿宋"/>
          <w:color w:val="auto"/>
          <w:sz w:val="32"/>
          <w:szCs w:val="32"/>
          <w:highlight w:val="none"/>
          <w:lang w:bidi="ar"/>
        </w:rPr>
        <w:t>11.21</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rPr>
        <w:t>主要用于</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kern w:val="2"/>
          <w:sz w:val="32"/>
          <w:szCs w:val="32"/>
          <w:highlight w:val="none"/>
          <w:lang w:val="en-US" w:eastAsia="zh-CN" w:bidi="ar"/>
        </w:rPr>
        <w:t>河池市水生态环境保护 “十四五”规划编制费等</w:t>
      </w:r>
      <w:r>
        <w:rPr>
          <w:rFonts w:hint="eastAsia" w:ascii="仿宋" w:hAnsi="仿宋" w:eastAsia="仿宋" w:cs="仿宋"/>
          <w:color w:val="auto"/>
          <w:sz w:val="32"/>
          <w:szCs w:val="32"/>
          <w:highlight w:val="none"/>
        </w:rPr>
        <w:t>。较2021年度决算数</w:t>
      </w:r>
      <w:r>
        <w:rPr>
          <w:rFonts w:hint="eastAsia" w:ascii="仿宋" w:hAnsi="仿宋" w:eastAsia="仿宋" w:cs="仿宋"/>
          <w:color w:val="auto"/>
          <w:sz w:val="32"/>
          <w:szCs w:val="32"/>
          <w:highlight w:val="none"/>
          <w:lang w:bidi="ar"/>
        </w:rPr>
        <w:t>增加11.21</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bidi="ar"/>
        </w:rPr>
        <w:t>增长100%</w:t>
      </w:r>
      <w:r>
        <w:rPr>
          <w:rFonts w:hint="eastAsia" w:ascii="仿宋" w:hAnsi="仿宋" w:eastAsia="仿宋" w:cs="仿宋"/>
          <w:color w:val="auto"/>
          <w:sz w:val="32"/>
          <w:szCs w:val="32"/>
          <w:highlight w:val="none"/>
        </w:rPr>
        <w:t>，</w:t>
      </w:r>
      <w:r>
        <w:rPr>
          <w:rFonts w:hint="eastAsia" w:ascii="仿宋" w:hAnsi="仿宋" w:eastAsia="仿宋" w:cs="仿宋"/>
          <w:color w:val="auto"/>
          <w:kern w:val="2"/>
          <w:sz w:val="32"/>
          <w:szCs w:val="32"/>
          <w:highlight w:val="none"/>
          <w:lang w:val="en-US" w:eastAsia="zh-CN" w:bidi="ar"/>
        </w:rPr>
        <w:t>主要原因是：新增河池市水生态环境保护 “十四五”规划编制项目。</w:t>
      </w:r>
    </w:p>
    <w:p>
      <w:pPr>
        <w:keepNext w:val="0"/>
        <w:keepLines w:val="0"/>
        <w:widowControl w:val="0"/>
        <w:suppressLineNumbers w:val="0"/>
        <w:spacing w:before="0" w:beforeAutospacing="0" w:after="0" w:afterAutospacing="0"/>
        <w:ind w:left="0" w:right="0" w:firstLine="640" w:firstLineChars="200"/>
        <w:jc w:val="left"/>
        <w:rPr>
          <w:rFonts w:hint="default" w:ascii="仿宋" w:hAnsi="仿宋" w:eastAsia="仿宋" w:cs="仿宋"/>
          <w:color w:val="auto"/>
          <w:kern w:val="2"/>
          <w:sz w:val="32"/>
          <w:szCs w:val="32"/>
          <w:highlight w:val="none"/>
          <w:lang w:val="en-US" w:eastAsia="zh-CN" w:bidi="ar"/>
        </w:rPr>
      </w:pPr>
      <w:r>
        <w:rPr>
          <w:rFonts w:hint="eastAsia" w:ascii="仿宋" w:hAnsi="仿宋" w:eastAsia="仿宋" w:cs="仿宋"/>
          <w:color w:val="auto"/>
          <w:sz w:val="32"/>
          <w:szCs w:val="32"/>
          <w:highlight w:val="none"/>
        </w:rPr>
        <w:t>2</w:t>
      </w:r>
      <w:r>
        <w:rPr>
          <w:rFonts w:ascii="仿宋" w:hAnsi="仿宋" w:eastAsia="仿宋" w:cs="仿宋"/>
          <w:color w:val="auto"/>
          <w:sz w:val="32"/>
          <w:u w:color="auto"/>
        </w:rPr>
        <w:t>.</w:t>
      </w:r>
      <w:r>
        <w:rPr>
          <w:rFonts w:hint="eastAsia" w:ascii="仿宋" w:hAnsi="仿宋" w:eastAsia="仿宋" w:cs="仿宋"/>
          <w:color w:val="auto"/>
          <w:sz w:val="32"/>
          <w:szCs w:val="32"/>
          <w:highlight w:val="none"/>
          <w:lang w:bidi="ar"/>
        </w:rPr>
        <w:t>社会保障和就业支出</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bidi="ar"/>
        </w:rPr>
        <w:t>208</w:t>
      </w:r>
      <w:r>
        <w:rPr>
          <w:rFonts w:ascii="Calibri" w:hAnsi="Calibri" w:eastAsia="宋体" w:cs="Times New Roman"/>
          <w:color w:val="auto"/>
          <w:highlight w:val="none"/>
          <w:lang w:bidi="ar"/>
        </w:rPr>
        <w:t xml:space="preserve"> </w:t>
      </w:r>
      <w:r>
        <w:rPr>
          <w:rFonts w:hint="eastAsia" w:ascii="仿宋" w:hAnsi="仿宋" w:eastAsia="仿宋" w:cs="仿宋"/>
          <w:color w:val="auto"/>
          <w:sz w:val="32"/>
          <w:szCs w:val="32"/>
          <w:highlight w:val="none"/>
        </w:rPr>
        <w:t>类）</w:t>
      </w:r>
      <w:r>
        <w:rPr>
          <w:rFonts w:hint="eastAsia" w:ascii="仿宋" w:hAnsi="仿宋" w:eastAsia="仿宋" w:cs="仿宋"/>
          <w:color w:val="auto"/>
          <w:sz w:val="32"/>
          <w:szCs w:val="32"/>
          <w:highlight w:val="none"/>
          <w:lang w:bidi="ar"/>
        </w:rPr>
        <w:t>127.57</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rPr>
        <w:t>主要用于</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主要用于职工社会保障缴费。</w:t>
      </w:r>
      <w:r>
        <w:rPr>
          <w:rFonts w:hint="eastAsia" w:ascii="仿宋" w:hAnsi="仿宋" w:eastAsia="仿宋" w:cs="仿宋"/>
          <w:color w:val="auto"/>
          <w:sz w:val="32"/>
          <w:szCs w:val="32"/>
          <w:highlight w:val="none"/>
        </w:rPr>
        <w:t>较2021年度决算数</w:t>
      </w:r>
      <w:r>
        <w:rPr>
          <w:rFonts w:hint="eastAsia" w:ascii="仿宋" w:hAnsi="仿宋" w:eastAsia="仿宋" w:cs="仿宋"/>
          <w:color w:val="auto"/>
          <w:sz w:val="32"/>
          <w:szCs w:val="32"/>
          <w:highlight w:val="none"/>
          <w:lang w:bidi="ar"/>
        </w:rPr>
        <w:t>减少4.17</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bidi="ar"/>
        </w:rPr>
        <w:t>下降3.17%</w:t>
      </w:r>
      <w:r>
        <w:rPr>
          <w:rFonts w:hint="eastAsia" w:ascii="仿宋" w:hAnsi="仿宋" w:eastAsia="仿宋" w:cs="仿宋"/>
          <w:color w:val="auto"/>
          <w:sz w:val="32"/>
          <w:szCs w:val="32"/>
          <w:highlight w:val="none"/>
        </w:rPr>
        <w:t>，</w:t>
      </w:r>
      <w:r>
        <w:rPr>
          <w:rFonts w:hint="eastAsia" w:ascii="仿宋" w:hAnsi="仿宋" w:eastAsia="仿宋" w:cs="仿宋"/>
          <w:color w:val="auto"/>
          <w:kern w:val="2"/>
          <w:sz w:val="32"/>
          <w:szCs w:val="32"/>
          <w:highlight w:val="none"/>
          <w:lang w:val="en-US" w:eastAsia="zh-CN" w:bidi="ar"/>
        </w:rPr>
        <w:t>主要原因是：人员退休缴费减少。</w:t>
      </w:r>
    </w:p>
    <w:p>
      <w:pPr>
        <w:keepNext w:val="0"/>
        <w:keepLines w:val="0"/>
        <w:widowControl w:val="0"/>
        <w:suppressLineNumbers w:val="0"/>
        <w:spacing w:before="0" w:beforeAutospacing="0" w:after="0" w:afterAutospacing="0"/>
        <w:ind w:left="0" w:right="0" w:firstLine="640" w:firstLineChars="200"/>
        <w:jc w:val="left"/>
        <w:rPr>
          <w:rFonts w:hint="eastAsia" w:ascii="仿宋" w:hAnsi="仿宋" w:eastAsia="仿宋" w:cs="仿宋"/>
          <w:color w:val="auto"/>
          <w:sz w:val="32"/>
          <w:szCs w:val="32"/>
          <w:highlight w:val="none"/>
          <w:lang w:val="en-US"/>
        </w:rPr>
      </w:pPr>
      <w:r>
        <w:rPr>
          <w:rFonts w:hint="eastAsia" w:ascii="仿宋" w:hAnsi="仿宋" w:eastAsia="仿宋" w:cs="仿宋"/>
          <w:color w:val="auto"/>
          <w:kern w:val="2"/>
          <w:sz w:val="32"/>
          <w:szCs w:val="32"/>
          <w:highlight w:val="none"/>
          <w:lang w:val="en-US" w:eastAsia="zh-CN" w:bidi="ar"/>
        </w:rPr>
        <w:t>。</w:t>
      </w:r>
    </w:p>
    <w:p>
      <w:pPr>
        <w:keepNext w:val="0"/>
        <w:keepLines w:val="0"/>
        <w:widowControl w:val="0"/>
        <w:suppressLineNumbers w:val="0"/>
        <w:spacing w:before="0" w:beforeAutospacing="0" w:after="0" w:afterAutospacing="0"/>
        <w:ind w:left="0" w:right="0" w:firstLine="640" w:firstLineChars="200"/>
        <w:jc w:val="left"/>
        <w:rPr>
          <w:rFonts w:hint="eastAsia" w:ascii="仿宋" w:hAnsi="仿宋" w:eastAsia="仿宋" w:cs="仿宋"/>
          <w:color w:val="auto"/>
          <w:sz w:val="32"/>
          <w:szCs w:val="32"/>
          <w:highlight w:val="none"/>
          <w:lang w:val="en-US"/>
        </w:rPr>
      </w:pPr>
      <w:r>
        <w:rPr>
          <w:rFonts w:hint="eastAsia" w:ascii="仿宋" w:hAnsi="仿宋" w:eastAsia="仿宋" w:cs="仿宋"/>
          <w:color w:val="auto"/>
          <w:sz w:val="32"/>
          <w:szCs w:val="32"/>
          <w:highlight w:val="none"/>
        </w:rPr>
        <w:t>3</w:t>
      </w:r>
      <w:r>
        <w:rPr>
          <w:rFonts w:ascii="仿宋" w:hAnsi="仿宋" w:eastAsia="仿宋" w:cs="仿宋"/>
          <w:color w:val="auto"/>
          <w:sz w:val="32"/>
          <w:u w:color="auto"/>
        </w:rPr>
        <w:t>.</w:t>
      </w:r>
      <w:r>
        <w:rPr>
          <w:rFonts w:hint="eastAsia" w:ascii="仿宋" w:hAnsi="仿宋" w:eastAsia="仿宋" w:cs="仿宋"/>
          <w:color w:val="auto"/>
          <w:sz w:val="32"/>
          <w:szCs w:val="32"/>
          <w:highlight w:val="none"/>
          <w:lang w:bidi="ar"/>
        </w:rPr>
        <w:t>卫生健康支出</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bidi="ar"/>
        </w:rPr>
        <w:t>210</w:t>
      </w:r>
      <w:r>
        <w:rPr>
          <w:rFonts w:ascii="Calibri" w:hAnsi="Calibri" w:eastAsia="宋体" w:cs="Times New Roman"/>
          <w:color w:val="auto"/>
          <w:highlight w:val="none"/>
          <w:lang w:bidi="ar"/>
        </w:rPr>
        <w:t xml:space="preserve"> </w:t>
      </w:r>
      <w:r>
        <w:rPr>
          <w:rFonts w:hint="eastAsia" w:ascii="仿宋" w:hAnsi="仿宋" w:eastAsia="仿宋" w:cs="仿宋"/>
          <w:color w:val="auto"/>
          <w:sz w:val="32"/>
          <w:szCs w:val="32"/>
          <w:highlight w:val="none"/>
        </w:rPr>
        <w:t>类）</w:t>
      </w:r>
      <w:r>
        <w:rPr>
          <w:rFonts w:hint="eastAsia" w:ascii="仿宋" w:hAnsi="仿宋" w:eastAsia="仿宋" w:cs="仿宋"/>
          <w:color w:val="auto"/>
          <w:sz w:val="32"/>
          <w:szCs w:val="32"/>
          <w:highlight w:val="none"/>
          <w:lang w:bidi="ar"/>
        </w:rPr>
        <w:t>85.17</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rPr>
        <w:t>主要用于</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主要用于按国家规定为在职及退休人员办理的医疗保险等支出。</w:t>
      </w:r>
      <w:r>
        <w:rPr>
          <w:rFonts w:hint="eastAsia" w:ascii="仿宋" w:hAnsi="仿宋" w:eastAsia="仿宋" w:cs="仿宋"/>
          <w:color w:val="auto"/>
          <w:sz w:val="32"/>
          <w:szCs w:val="32"/>
          <w:highlight w:val="none"/>
        </w:rPr>
        <w:t>。较2021年度决算数</w:t>
      </w:r>
      <w:r>
        <w:rPr>
          <w:rFonts w:hint="eastAsia" w:ascii="仿宋" w:hAnsi="仿宋" w:eastAsia="仿宋" w:cs="仿宋"/>
          <w:color w:val="auto"/>
          <w:sz w:val="32"/>
          <w:szCs w:val="32"/>
          <w:highlight w:val="none"/>
          <w:lang w:bidi="ar"/>
        </w:rPr>
        <w:t>增加2.98</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bidi="ar"/>
        </w:rPr>
        <w:t>增长3.63%</w:t>
      </w:r>
      <w:r>
        <w:rPr>
          <w:rFonts w:hint="eastAsia" w:ascii="仿宋" w:hAnsi="仿宋" w:eastAsia="仿宋" w:cs="仿宋"/>
          <w:color w:val="auto"/>
          <w:sz w:val="32"/>
          <w:szCs w:val="32"/>
          <w:highlight w:val="none"/>
        </w:rPr>
        <w:t>，</w:t>
      </w:r>
      <w:r>
        <w:rPr>
          <w:rFonts w:hint="eastAsia" w:ascii="仿宋" w:hAnsi="仿宋" w:eastAsia="仿宋" w:cs="仿宋"/>
          <w:color w:val="auto"/>
          <w:kern w:val="2"/>
          <w:sz w:val="32"/>
          <w:szCs w:val="32"/>
          <w:highlight w:val="none"/>
          <w:lang w:val="en-US" w:eastAsia="zh-CN" w:bidi="ar"/>
        </w:rPr>
        <w:t>主要原因是：公务员及事业编制内人员招考录用后该费用增加。</w:t>
      </w:r>
    </w:p>
    <w:p>
      <w:pPr>
        <w:keepNext w:val="0"/>
        <w:keepLines w:val="0"/>
        <w:widowControl w:val="0"/>
        <w:suppressLineNumbers w:val="0"/>
        <w:spacing w:before="0" w:beforeAutospacing="0" w:after="0" w:afterAutospacing="0"/>
        <w:ind w:left="0" w:right="0" w:firstLine="640" w:firstLineChars="200"/>
        <w:jc w:val="left"/>
        <w:rPr>
          <w:rFonts w:hint="eastAsia" w:ascii="仿宋" w:hAnsi="仿宋" w:eastAsia="仿宋" w:cs="仿宋"/>
          <w:color w:val="auto"/>
          <w:kern w:val="2"/>
          <w:sz w:val="32"/>
          <w:szCs w:val="32"/>
          <w:highlight w:val="none"/>
          <w:lang w:val="en-US" w:eastAsia="zh-CN" w:bidi="ar"/>
        </w:rPr>
      </w:pPr>
      <w:r>
        <w:rPr>
          <w:rFonts w:hint="eastAsia" w:ascii="仿宋" w:hAnsi="仿宋" w:eastAsia="仿宋" w:cs="仿宋"/>
          <w:color w:val="auto"/>
          <w:sz w:val="32"/>
          <w:szCs w:val="32"/>
          <w:highlight w:val="none"/>
        </w:rPr>
        <w:t>4</w:t>
      </w:r>
      <w:r>
        <w:rPr>
          <w:rFonts w:ascii="仿宋" w:hAnsi="仿宋" w:eastAsia="仿宋" w:cs="仿宋"/>
          <w:color w:val="auto"/>
          <w:sz w:val="32"/>
          <w:u w:color="auto"/>
        </w:rPr>
        <w:t>.</w:t>
      </w:r>
      <w:r>
        <w:rPr>
          <w:rFonts w:hint="eastAsia" w:ascii="仿宋" w:hAnsi="仿宋" w:eastAsia="仿宋" w:cs="仿宋"/>
          <w:color w:val="auto"/>
          <w:sz w:val="32"/>
          <w:szCs w:val="32"/>
          <w:highlight w:val="none"/>
          <w:lang w:bidi="ar"/>
        </w:rPr>
        <w:t>节能环保支出</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bidi="ar"/>
        </w:rPr>
        <w:t>211</w:t>
      </w:r>
      <w:r>
        <w:rPr>
          <w:rFonts w:ascii="Calibri" w:hAnsi="Calibri" w:eastAsia="宋体" w:cs="Times New Roman"/>
          <w:color w:val="auto"/>
          <w:highlight w:val="none"/>
          <w:lang w:bidi="ar"/>
        </w:rPr>
        <w:t xml:space="preserve"> </w:t>
      </w:r>
      <w:r>
        <w:rPr>
          <w:rFonts w:hint="eastAsia" w:ascii="仿宋" w:hAnsi="仿宋" w:eastAsia="仿宋" w:cs="仿宋"/>
          <w:color w:val="auto"/>
          <w:sz w:val="32"/>
          <w:szCs w:val="32"/>
          <w:highlight w:val="none"/>
        </w:rPr>
        <w:t>类）</w:t>
      </w:r>
      <w:r>
        <w:rPr>
          <w:rFonts w:hint="eastAsia" w:ascii="仿宋" w:hAnsi="仿宋" w:eastAsia="仿宋" w:cs="仿宋"/>
          <w:color w:val="auto"/>
          <w:sz w:val="32"/>
          <w:szCs w:val="32"/>
          <w:highlight w:val="none"/>
          <w:lang w:bidi="ar"/>
        </w:rPr>
        <w:t>7459.25</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rPr>
        <w:t>主要用于</w:t>
      </w:r>
      <w:r>
        <w:rPr>
          <w:rFonts w:hint="eastAsia" w:ascii="仿宋" w:hAnsi="仿宋" w:eastAsia="仿宋" w:cs="仿宋"/>
          <w:color w:val="auto"/>
          <w:sz w:val="32"/>
          <w:szCs w:val="32"/>
          <w:highlight w:val="none"/>
          <w:lang w:eastAsia="zh-CN"/>
        </w:rPr>
        <w:t>：</w:t>
      </w:r>
      <w:r>
        <w:rPr>
          <w:rFonts w:hint="eastAsia" w:ascii="仿宋_GB2312" w:hAnsi="宋体" w:eastAsia="仿宋_GB2312" w:cs="宋体"/>
          <w:color w:val="auto"/>
          <w:kern w:val="0"/>
          <w:sz w:val="32"/>
          <w:szCs w:val="32"/>
        </w:rPr>
        <w:t>除按规定用于在职及离退人员工资支出外，主要用于河池市龙岩滩流域环境监测能力建设项目及河池市土壤先行区污染综合防治项目支出等</w:t>
      </w:r>
      <w:r>
        <w:rPr>
          <w:rFonts w:hint="eastAsia" w:ascii="仿宋" w:hAnsi="仿宋" w:eastAsia="仿宋" w:cs="仿宋"/>
          <w:color w:val="auto"/>
          <w:sz w:val="32"/>
          <w:szCs w:val="32"/>
          <w:highlight w:val="none"/>
        </w:rPr>
        <w:t>。较2021年度决算数</w:t>
      </w:r>
      <w:r>
        <w:rPr>
          <w:rFonts w:hint="eastAsia" w:ascii="仿宋" w:hAnsi="仿宋" w:eastAsia="仿宋" w:cs="仿宋"/>
          <w:color w:val="auto"/>
          <w:sz w:val="32"/>
          <w:szCs w:val="32"/>
          <w:highlight w:val="none"/>
          <w:lang w:bidi="ar"/>
        </w:rPr>
        <w:t>增加5624.33</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bidi="ar"/>
        </w:rPr>
        <w:t>增长306.52%</w:t>
      </w:r>
      <w:r>
        <w:rPr>
          <w:rFonts w:hint="eastAsia" w:ascii="仿宋" w:hAnsi="仿宋" w:eastAsia="仿宋" w:cs="仿宋"/>
          <w:color w:val="auto"/>
          <w:sz w:val="32"/>
          <w:szCs w:val="32"/>
          <w:highlight w:val="none"/>
        </w:rPr>
        <w:t>，</w:t>
      </w:r>
      <w:r>
        <w:rPr>
          <w:rFonts w:hint="eastAsia" w:ascii="仿宋" w:hAnsi="仿宋" w:eastAsia="仿宋" w:cs="仿宋"/>
          <w:color w:val="auto"/>
          <w:kern w:val="2"/>
          <w:sz w:val="32"/>
          <w:szCs w:val="32"/>
          <w:highlight w:val="none"/>
          <w:lang w:val="en-US" w:eastAsia="zh-CN" w:bidi="ar"/>
        </w:rPr>
        <w:t>主要原因是：11县区生态环境派出局人员经费纳入市本级经费保障后行政运行费增加较大。</w:t>
      </w:r>
    </w:p>
    <w:p>
      <w:pPr>
        <w:keepNext w:val="0"/>
        <w:keepLines w:val="0"/>
        <w:widowControl w:val="0"/>
        <w:suppressLineNumbers w:val="0"/>
        <w:spacing w:before="0" w:beforeAutospacing="0" w:after="0" w:afterAutospacing="0"/>
        <w:ind w:left="0" w:right="0" w:firstLine="640" w:firstLineChars="200"/>
        <w:jc w:val="left"/>
        <w:rPr>
          <w:rFonts w:hint="eastAsia" w:ascii="仿宋" w:hAnsi="仿宋" w:eastAsia="仿宋" w:cs="仿宋"/>
          <w:color w:val="auto"/>
          <w:kern w:val="2"/>
          <w:sz w:val="32"/>
          <w:szCs w:val="32"/>
          <w:highlight w:val="none"/>
          <w:lang w:val="en-US" w:eastAsia="zh-CN" w:bidi="ar"/>
        </w:rPr>
      </w:pPr>
      <w:r>
        <w:rPr>
          <w:rFonts w:hint="eastAsia" w:ascii="仿宋" w:hAnsi="仿宋" w:eastAsia="仿宋" w:cs="仿宋"/>
          <w:color w:val="auto"/>
          <w:sz w:val="32"/>
          <w:szCs w:val="32"/>
          <w:highlight w:val="none"/>
        </w:rPr>
        <w:t>5</w:t>
      </w:r>
      <w:r>
        <w:rPr>
          <w:rFonts w:ascii="仿宋" w:hAnsi="仿宋" w:eastAsia="仿宋" w:cs="仿宋"/>
          <w:color w:val="auto"/>
          <w:sz w:val="32"/>
          <w:u w:color="auto"/>
        </w:rPr>
        <w:t>.</w:t>
      </w:r>
      <w:r>
        <w:rPr>
          <w:rFonts w:hint="eastAsia" w:ascii="仿宋" w:hAnsi="仿宋" w:eastAsia="仿宋" w:cs="仿宋"/>
          <w:color w:val="auto"/>
          <w:sz w:val="32"/>
          <w:szCs w:val="32"/>
          <w:highlight w:val="none"/>
          <w:lang w:bidi="ar"/>
        </w:rPr>
        <w:t>住房保障支出</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bidi="ar"/>
        </w:rPr>
        <w:t>221</w:t>
      </w:r>
      <w:r>
        <w:rPr>
          <w:rFonts w:ascii="Calibri" w:hAnsi="Calibri" w:eastAsia="宋体" w:cs="Times New Roman"/>
          <w:color w:val="auto"/>
          <w:highlight w:val="none"/>
          <w:lang w:bidi="ar"/>
        </w:rPr>
        <w:t xml:space="preserve"> </w:t>
      </w:r>
      <w:r>
        <w:rPr>
          <w:rFonts w:hint="eastAsia" w:ascii="仿宋" w:hAnsi="仿宋" w:eastAsia="仿宋" w:cs="仿宋"/>
          <w:color w:val="auto"/>
          <w:sz w:val="32"/>
          <w:szCs w:val="32"/>
          <w:highlight w:val="none"/>
        </w:rPr>
        <w:t>类）</w:t>
      </w:r>
      <w:r>
        <w:rPr>
          <w:rFonts w:hint="eastAsia" w:ascii="仿宋" w:hAnsi="仿宋" w:eastAsia="仿宋" w:cs="仿宋"/>
          <w:color w:val="auto"/>
          <w:sz w:val="32"/>
          <w:szCs w:val="32"/>
          <w:highlight w:val="none"/>
          <w:lang w:bidi="ar"/>
        </w:rPr>
        <w:t>95.30</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rPr>
        <w:t>主要用于</w:t>
      </w:r>
      <w:r>
        <w:rPr>
          <w:rFonts w:hint="eastAsia" w:ascii="仿宋" w:hAnsi="仿宋" w:eastAsia="仿宋" w:cs="仿宋"/>
          <w:color w:val="auto"/>
          <w:sz w:val="32"/>
          <w:szCs w:val="32"/>
          <w:highlight w:val="none"/>
          <w:lang w:eastAsia="zh-CN"/>
        </w:rPr>
        <w:t>：</w:t>
      </w:r>
      <w:r>
        <w:rPr>
          <w:rFonts w:hint="eastAsia" w:ascii="仿宋_GB2312" w:hAnsi="宋体" w:eastAsia="仿宋_GB2312" w:cs="宋体"/>
          <w:color w:val="auto"/>
          <w:kern w:val="0"/>
          <w:sz w:val="32"/>
          <w:szCs w:val="32"/>
        </w:rPr>
        <w:t>按照国家政策规定向职工发放的住房公积金、提租补贴、购房补贴等住房改革方面的支出</w:t>
      </w:r>
      <w:r>
        <w:rPr>
          <w:rFonts w:hint="eastAsia" w:ascii="仿宋" w:hAnsi="仿宋" w:eastAsia="仿宋" w:cs="仿宋"/>
          <w:color w:val="auto"/>
          <w:sz w:val="32"/>
          <w:szCs w:val="32"/>
          <w:highlight w:val="none"/>
        </w:rPr>
        <w:t>。较2021年度决算数</w:t>
      </w:r>
      <w:r>
        <w:rPr>
          <w:rFonts w:hint="eastAsia" w:ascii="仿宋" w:hAnsi="仿宋" w:eastAsia="仿宋" w:cs="仿宋"/>
          <w:color w:val="auto"/>
          <w:sz w:val="32"/>
          <w:szCs w:val="32"/>
          <w:highlight w:val="none"/>
          <w:lang w:bidi="ar"/>
        </w:rPr>
        <w:t>增加6.60</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bidi="ar"/>
        </w:rPr>
        <w:t>增长7.44%</w:t>
      </w:r>
      <w:r>
        <w:rPr>
          <w:rFonts w:hint="eastAsia" w:ascii="仿宋" w:hAnsi="仿宋" w:eastAsia="仿宋" w:cs="仿宋"/>
          <w:color w:val="auto"/>
          <w:sz w:val="32"/>
          <w:szCs w:val="32"/>
          <w:highlight w:val="none"/>
        </w:rPr>
        <w:t>，</w:t>
      </w:r>
      <w:r>
        <w:rPr>
          <w:rFonts w:hint="eastAsia" w:ascii="仿宋" w:hAnsi="仿宋" w:eastAsia="仿宋" w:cs="仿宋"/>
          <w:color w:val="auto"/>
          <w:kern w:val="2"/>
          <w:sz w:val="32"/>
          <w:szCs w:val="32"/>
          <w:highlight w:val="none"/>
          <w:lang w:val="en-US" w:eastAsia="zh-CN" w:bidi="ar"/>
        </w:rPr>
        <w:t>主要原因是：公务员及事业编制内人员招考录用后该费用增加。</w:t>
      </w:r>
    </w:p>
    <w:p>
      <w:pPr>
        <w:keepNext w:val="0"/>
        <w:keepLines w:val="0"/>
        <w:widowControl w:val="0"/>
        <w:suppressLineNumbers w:val="0"/>
        <w:spacing w:before="0" w:beforeAutospacing="0" w:after="0" w:afterAutospacing="0"/>
        <w:ind w:left="0" w:right="0" w:firstLine="620" w:firstLineChars="200"/>
        <w:jc w:val="left"/>
        <w:rPr>
          <w:rFonts w:hint="eastAsia" w:ascii="仿宋" w:hAnsi="仿宋" w:eastAsia="仿宋_GB2312" w:cs="仿宋"/>
          <w:color w:val="auto"/>
          <w:sz w:val="32"/>
          <w:szCs w:val="32"/>
          <w:highlight w:val="none"/>
          <w:lang w:eastAsia="zh-CN" w:bidi="ar"/>
        </w:rPr>
      </w:pPr>
      <w:r>
        <w:rPr>
          <w:rFonts w:hint="eastAsia" w:ascii="仿宋_GB2312" w:hAnsi="微软雅黑" w:eastAsia="仿宋_GB2312" w:cs="仿宋_GB2312"/>
          <w:i w:val="0"/>
          <w:iCs w:val="0"/>
          <w:caps w:val="0"/>
          <w:color w:val="auto"/>
          <w:spacing w:val="0"/>
          <w:sz w:val="31"/>
          <w:szCs w:val="31"/>
          <w:highlight w:val="none"/>
          <w:shd w:val="clear" w:color="auto" w:fill="FFFFFF"/>
          <w:lang w:val="en-US" w:eastAsia="zh-CN"/>
        </w:rPr>
        <w:t>6.</w:t>
      </w:r>
      <w:r>
        <w:rPr>
          <w:rFonts w:hint="default" w:ascii="仿宋_GB2312" w:hAnsi="微软雅黑" w:eastAsia="仿宋_GB2312" w:cs="仿宋_GB2312"/>
          <w:i w:val="0"/>
          <w:iCs w:val="0"/>
          <w:caps w:val="0"/>
          <w:color w:val="auto"/>
          <w:spacing w:val="0"/>
          <w:sz w:val="31"/>
          <w:szCs w:val="31"/>
          <w:highlight w:val="none"/>
          <w:shd w:val="clear" w:color="auto" w:fill="FFFFFF"/>
        </w:rPr>
        <w:t>结余分配</w:t>
      </w:r>
      <w:r>
        <w:rPr>
          <w:rFonts w:hint="eastAsia" w:ascii="仿宋_GB2312" w:hAnsi="微软雅黑" w:eastAsia="仿宋_GB2312" w:cs="仿宋_GB2312"/>
          <w:color w:val="auto"/>
          <w:sz w:val="31"/>
          <w:szCs w:val="31"/>
          <w:highlight w:val="none"/>
          <w:shd w:val="clear" w:color="auto" w:fill="FFFFFF"/>
        </w:rPr>
        <w:t>0.00</w:t>
      </w:r>
      <w:r>
        <w:rPr>
          <w:rFonts w:hint="default" w:ascii="仿宋_GB2312" w:hAnsi="微软雅黑" w:eastAsia="仿宋_GB2312" w:cs="仿宋_GB2312"/>
          <w:i w:val="0"/>
          <w:iCs w:val="0"/>
          <w:caps w:val="0"/>
          <w:color w:val="auto"/>
          <w:spacing w:val="0"/>
          <w:sz w:val="31"/>
          <w:szCs w:val="31"/>
          <w:highlight w:val="none"/>
          <w:shd w:val="clear" w:color="auto" w:fill="FFFFFF"/>
        </w:rPr>
        <w:t>万元，为事业单位按规定提取的专用结余、缴纳所得税和转入非财政拨款结余等。较202</w:t>
      </w:r>
      <w:r>
        <w:rPr>
          <w:rFonts w:hint="eastAsia" w:ascii="仿宋_GB2312" w:hAnsi="微软雅黑" w:eastAsia="仿宋_GB2312" w:cs="仿宋_GB2312"/>
          <w:i w:val="0"/>
          <w:iCs w:val="0"/>
          <w:caps w:val="0"/>
          <w:color w:val="auto"/>
          <w:spacing w:val="0"/>
          <w:sz w:val="31"/>
          <w:szCs w:val="31"/>
          <w:highlight w:val="none"/>
          <w:shd w:val="clear" w:color="auto" w:fill="FFFFFF"/>
          <w:lang w:val="en-US" w:eastAsia="zh-CN"/>
        </w:rPr>
        <w:t>1</w:t>
      </w:r>
      <w:r>
        <w:rPr>
          <w:rFonts w:hint="default" w:ascii="仿宋_GB2312" w:hAnsi="微软雅黑" w:eastAsia="仿宋_GB2312" w:cs="仿宋_GB2312"/>
          <w:i w:val="0"/>
          <w:iCs w:val="0"/>
          <w:caps w:val="0"/>
          <w:color w:val="auto"/>
          <w:spacing w:val="0"/>
          <w:sz w:val="31"/>
          <w:szCs w:val="31"/>
          <w:highlight w:val="none"/>
          <w:shd w:val="clear" w:color="auto" w:fill="FFFFFF"/>
        </w:rPr>
        <w:t>年决算</w:t>
      </w:r>
      <w:r>
        <w:rPr>
          <w:rFonts w:hint="eastAsia" w:ascii="仿宋_GB2312" w:hAnsi="微软雅黑" w:eastAsia="仿宋_GB2312" w:cs="仿宋_GB2312"/>
          <w:color w:val="auto"/>
          <w:sz w:val="31"/>
          <w:szCs w:val="31"/>
          <w:highlight w:val="none"/>
          <w:shd w:val="clear" w:color="auto" w:fill="FFFFFF"/>
        </w:rPr>
        <w:t>0.00</w:t>
      </w:r>
      <w:r>
        <w:rPr>
          <w:rFonts w:hint="default" w:ascii="仿宋_GB2312" w:hAnsi="微软雅黑" w:eastAsia="仿宋_GB2312" w:cs="仿宋_GB2312"/>
          <w:i w:val="0"/>
          <w:iCs w:val="0"/>
          <w:caps w:val="0"/>
          <w:color w:val="auto"/>
          <w:spacing w:val="0"/>
          <w:sz w:val="31"/>
          <w:szCs w:val="31"/>
          <w:highlight w:val="none"/>
          <w:shd w:val="clear" w:color="auto" w:fill="FFFFFF"/>
        </w:rPr>
        <w:t>万元</w:t>
      </w:r>
      <w:r>
        <w:rPr>
          <w:rFonts w:hint="eastAsia" w:ascii="仿宋_GB2312" w:hAnsi="微软雅黑" w:eastAsia="仿宋_GB2312" w:cs="仿宋_GB2312"/>
          <w:i w:val="0"/>
          <w:iCs w:val="0"/>
          <w:caps w:val="0"/>
          <w:color w:val="auto"/>
          <w:spacing w:val="0"/>
          <w:sz w:val="31"/>
          <w:szCs w:val="31"/>
          <w:highlight w:val="none"/>
          <w:shd w:val="clear" w:color="auto" w:fill="FFFFFF"/>
          <w:lang w:val="en-US" w:eastAsia="zh-CN"/>
        </w:rPr>
        <w:t>,</w:t>
      </w:r>
      <w:r>
        <w:rPr>
          <w:rFonts w:hint="eastAsia" w:ascii="仿宋_GB2312" w:hAnsi="微软雅黑" w:eastAsia="仿宋_GB2312" w:cs="仿宋_GB2312"/>
          <w:color w:val="auto"/>
          <w:sz w:val="31"/>
          <w:szCs w:val="31"/>
          <w:highlight w:val="none"/>
          <w:shd w:val="clear" w:color="auto" w:fill="FFFFFF"/>
        </w:rPr>
        <w:t>增加0.00</w:t>
      </w:r>
      <w:r>
        <w:rPr>
          <w:rFonts w:hint="default" w:ascii="仿宋_GB2312" w:hAnsi="微软雅黑" w:eastAsia="仿宋_GB2312" w:cs="仿宋_GB2312"/>
          <w:i w:val="0"/>
          <w:iCs w:val="0"/>
          <w:caps w:val="0"/>
          <w:color w:val="auto"/>
          <w:spacing w:val="0"/>
          <w:sz w:val="31"/>
          <w:szCs w:val="31"/>
          <w:highlight w:val="none"/>
          <w:shd w:val="clear" w:color="auto" w:fill="FFFFFF"/>
        </w:rPr>
        <w:t>万元，</w:t>
      </w:r>
      <w:r>
        <w:rPr>
          <w:rFonts w:hint="eastAsia" w:ascii="仿宋_GB2312" w:hAnsi="微软雅黑" w:eastAsia="仿宋_GB2312" w:cs="仿宋_GB2312"/>
          <w:color w:val="auto"/>
          <w:sz w:val="31"/>
          <w:szCs w:val="31"/>
          <w:highlight w:val="none"/>
          <w:shd w:val="clear" w:color="auto" w:fill="FFFFFF"/>
        </w:rPr>
        <w:t>增长0%</w:t>
      </w:r>
      <w:r>
        <w:rPr>
          <w:rFonts w:hint="default" w:ascii="仿宋_GB2312" w:hAnsi="微软雅黑" w:eastAsia="仿宋_GB2312" w:cs="仿宋_GB2312"/>
          <w:i w:val="0"/>
          <w:iCs w:val="0"/>
          <w:caps w:val="0"/>
          <w:color w:val="auto"/>
          <w:spacing w:val="0"/>
          <w:sz w:val="31"/>
          <w:szCs w:val="31"/>
          <w:highlight w:val="none"/>
          <w:shd w:val="clear" w:color="auto" w:fill="FFFFFF"/>
        </w:rPr>
        <w:t>，</w:t>
      </w:r>
      <w:r>
        <w:rPr>
          <w:rFonts w:hint="eastAsia" w:ascii="宋体" w:hAnsi="宋体" w:eastAsia="宋体" w:cs="宋体"/>
          <w:i w:val="0"/>
          <w:iCs w:val="0"/>
          <w:caps w:val="0"/>
          <w:color w:val="auto"/>
          <w:spacing w:val="0"/>
          <w:sz w:val="32"/>
          <w:szCs w:val="32"/>
          <w:highlight w:val="none"/>
          <w:shd w:val="clear" w:color="auto" w:fill="FFFFFF"/>
        </w:rPr>
        <w:t>主要原因是</w:t>
      </w:r>
      <w:r>
        <w:rPr>
          <w:rFonts w:hint="eastAsia" w:ascii="宋体" w:hAnsi="宋体" w:eastAsia="宋体" w:cs="宋体"/>
          <w:color w:val="auto"/>
          <w:kern w:val="2"/>
          <w:sz w:val="32"/>
          <w:szCs w:val="32"/>
          <w:highlight w:val="none"/>
          <w:lang w:val="en-US" w:eastAsia="zh-CN" w:bidi="ar"/>
        </w:rPr>
        <w:t>：</w:t>
      </w:r>
      <w:r>
        <w:rPr>
          <w:rFonts w:hint="eastAsia" w:ascii="仿宋" w:hAnsi="仿宋" w:eastAsia="仿宋" w:cs="仿宋"/>
          <w:color w:val="auto"/>
          <w:kern w:val="2"/>
          <w:sz w:val="32"/>
          <w:szCs w:val="32"/>
          <w:highlight w:val="none"/>
          <w:lang w:val="en-US" w:eastAsia="zh-CN" w:bidi="ar"/>
        </w:rPr>
        <w:t>财政以支定收改革后，结余减少。</w:t>
      </w:r>
    </w:p>
    <w:p>
      <w:pPr>
        <w:keepNext w:val="0"/>
        <w:keepLines w:val="0"/>
        <w:widowControl w:val="0"/>
        <w:suppressLineNumbers w:val="0"/>
        <w:spacing w:before="0" w:beforeAutospacing="0" w:after="0" w:afterAutospacing="0"/>
        <w:ind w:left="0" w:right="0" w:firstLine="640" w:firstLineChars="200"/>
        <w:jc w:val="left"/>
        <w:rPr>
          <w:rFonts w:hint="eastAsia" w:ascii="仿宋" w:hAnsi="仿宋" w:eastAsia="仿宋_GB2312" w:cs="仿宋"/>
          <w:color w:val="auto"/>
          <w:sz w:val="32"/>
          <w:szCs w:val="32"/>
          <w:highlight w:val="none"/>
          <w:lang w:eastAsia="zh-CN" w:bidi="ar"/>
        </w:rPr>
      </w:pPr>
      <w:r>
        <w:rPr>
          <w:rFonts w:hint="eastAsia" w:ascii="仿宋" w:hAnsi="仿宋" w:eastAsia="仿宋" w:cs="仿宋"/>
          <w:color w:val="auto"/>
          <w:sz w:val="32"/>
          <w:szCs w:val="32"/>
          <w:highlight w:val="none"/>
          <w:lang w:val="en-US" w:eastAsia="zh-CN"/>
        </w:rPr>
        <w:t>7.</w:t>
      </w:r>
      <w:r>
        <w:rPr>
          <w:rFonts w:hint="eastAsia" w:ascii="仿宋" w:hAnsi="仿宋" w:eastAsia="仿宋" w:cs="仿宋"/>
          <w:color w:val="auto"/>
          <w:sz w:val="32"/>
          <w:szCs w:val="32"/>
          <w:highlight w:val="none"/>
        </w:rPr>
        <w:t>年末结转和结余</w:t>
      </w:r>
      <w:r>
        <w:rPr>
          <w:rFonts w:ascii="仿宋" w:hAnsi="仿宋" w:eastAsia="仿宋" w:cs="仿宋"/>
          <w:color w:val="auto"/>
          <w:sz w:val="32"/>
          <w:u w:color="auto"/>
        </w:rPr>
        <w:t>0.00</w:t>
      </w:r>
      <w:r>
        <w:rPr>
          <w:rFonts w:hint="eastAsia" w:ascii="仿宋" w:hAnsi="仿宋" w:eastAsia="仿宋" w:cs="仿宋"/>
          <w:color w:val="auto"/>
          <w:sz w:val="32"/>
          <w:szCs w:val="32"/>
          <w:highlight w:val="none"/>
        </w:rPr>
        <w:t>万元，</w:t>
      </w:r>
      <w:r>
        <w:rPr>
          <w:rFonts w:hint="eastAsia" w:ascii="仿宋" w:hAnsi="仿宋" w:eastAsia="仿宋" w:cs="仿宋"/>
          <w:color w:val="auto"/>
          <w:kern w:val="2"/>
          <w:sz w:val="32"/>
          <w:szCs w:val="32"/>
          <w:highlight w:val="none"/>
          <w:lang w:val="en-US" w:eastAsia="zh-CN" w:bidi="ar"/>
        </w:rPr>
        <w:t>财政以支定收改革后，结余为0</w:t>
      </w:r>
      <w:r>
        <w:rPr>
          <w:rFonts w:hint="eastAsia" w:ascii="仿宋" w:hAnsi="仿宋" w:eastAsia="仿宋" w:cs="仿宋"/>
          <w:color w:val="auto"/>
          <w:sz w:val="32"/>
          <w:szCs w:val="32"/>
          <w:highlight w:val="none"/>
        </w:rPr>
        <w:t>。较2021年度决算数</w:t>
      </w:r>
      <w:r>
        <w:rPr>
          <w:rFonts w:ascii="仿宋" w:hAnsi="仿宋" w:eastAsia="仿宋" w:cs="仿宋"/>
          <w:color w:val="auto"/>
          <w:sz w:val="32"/>
          <w:u w:color="auto"/>
        </w:rPr>
        <w:t>减少126.00</w:t>
      </w:r>
      <w:r>
        <w:rPr>
          <w:rFonts w:hint="eastAsia" w:ascii="仿宋" w:hAnsi="仿宋" w:eastAsia="仿宋" w:cs="仿宋"/>
          <w:color w:val="auto"/>
          <w:sz w:val="32"/>
          <w:szCs w:val="32"/>
          <w:highlight w:val="none"/>
        </w:rPr>
        <w:t>万元，</w:t>
      </w:r>
      <w:r>
        <w:rPr>
          <w:rFonts w:ascii="仿宋" w:hAnsi="仿宋" w:eastAsia="仿宋" w:cs="仿宋"/>
          <w:color w:val="auto"/>
          <w:sz w:val="32"/>
          <w:u w:color="auto"/>
        </w:rPr>
        <w:t>下降100.00%</w:t>
      </w:r>
      <w:r>
        <w:rPr>
          <w:rFonts w:hint="eastAsia" w:ascii="仿宋" w:hAnsi="仿宋" w:eastAsia="仿宋" w:cs="仿宋"/>
          <w:color w:val="auto"/>
          <w:sz w:val="32"/>
          <w:szCs w:val="32"/>
          <w:highlight w:val="none"/>
        </w:rPr>
        <w:t>，</w:t>
      </w:r>
      <w:r>
        <w:rPr>
          <w:rFonts w:hint="eastAsia" w:ascii="仿宋" w:hAnsi="仿宋" w:eastAsia="仿宋" w:cs="仿宋"/>
          <w:color w:val="auto"/>
          <w:kern w:val="2"/>
          <w:sz w:val="32"/>
          <w:szCs w:val="32"/>
          <w:highlight w:val="none"/>
          <w:lang w:val="en-US" w:eastAsia="zh-CN" w:bidi="ar"/>
        </w:rPr>
        <w:t>主要原因是：财政以支定收改革后，结余减少。</w:t>
      </w:r>
    </w:p>
    <w:p>
      <w:pPr>
        <w:keepNext w:val="0"/>
        <w:keepLines w:val="0"/>
        <w:widowControl w:val="0"/>
        <w:suppressLineNumbers w:val="0"/>
        <w:spacing w:before="0" w:beforeAutospacing="0" w:after="0" w:afterAutospacing="0"/>
        <w:ind w:left="0" w:right="0" w:firstLine="640" w:firstLineChars="200"/>
        <w:jc w:val="left"/>
        <w:rPr>
          <w:rFonts w:ascii="仿宋" w:hAnsi="仿宋" w:eastAsia="仿宋" w:cs="仿宋"/>
          <w:color w:val="auto"/>
          <w:sz w:val="32"/>
          <w:szCs w:val="32"/>
          <w:highlight w:val="none"/>
        </w:rPr>
      </w:pPr>
    </w:p>
    <w:p>
      <w:pPr>
        <w:ind w:firstLine="640" w:firstLineChars="200"/>
        <w:jc w:val="center"/>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drawing>
          <wp:inline distT="0" distB="0" distL="114300" distR="114300">
            <wp:extent cx="5080000" cy="3022600"/>
            <wp:effectExtent l="4445" t="4445" r="5715" b="5715"/>
            <wp:docPr id="3" name="图表 3" title="{{img_zcjs}}"/>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jc w:val="left"/>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二、2022 年度</w:t>
      </w:r>
      <w:bookmarkStart w:id="2" w:name="OLE_LINK1"/>
      <w:r>
        <w:rPr>
          <w:rFonts w:hint="eastAsia" w:ascii="黑体" w:hAnsi="黑体" w:eastAsia="黑体" w:cs="黑体"/>
          <w:color w:val="auto"/>
          <w:sz w:val="32"/>
          <w:szCs w:val="32"/>
          <w:highlight w:val="none"/>
        </w:rPr>
        <w:t>一般公共预算财政拨款支出决算情况</w:t>
      </w:r>
      <w:bookmarkEnd w:id="2"/>
    </w:p>
    <w:p>
      <w:pPr>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河池市生态环境局2022年度一般公共预算财政拨款支出</w:t>
      </w:r>
      <w:r>
        <w:rPr>
          <w:rFonts w:ascii="仿宋" w:hAnsi="仿宋" w:eastAsia="仿宋" w:cs="仿宋"/>
          <w:color w:val="auto"/>
          <w:sz w:val="32"/>
          <w:u w:color="auto"/>
        </w:rPr>
        <w:t>7778.50</w:t>
      </w:r>
      <w:r>
        <w:rPr>
          <w:rFonts w:hint="eastAsia" w:ascii="仿宋" w:hAnsi="仿宋" w:eastAsia="仿宋" w:cs="仿宋"/>
          <w:color w:val="auto"/>
          <w:sz w:val="32"/>
          <w:szCs w:val="32"/>
          <w:highlight w:val="none"/>
        </w:rPr>
        <w:t>万元，较2021年度决算数</w:t>
      </w:r>
      <w:r>
        <w:rPr>
          <w:rFonts w:ascii="仿宋" w:hAnsi="仿宋" w:eastAsia="仿宋" w:cs="仿宋"/>
          <w:color w:val="auto"/>
          <w:sz w:val="32"/>
          <w:u w:color="auto"/>
        </w:rPr>
        <w:t>增加5513.79</w:t>
      </w:r>
      <w:r>
        <w:rPr>
          <w:rFonts w:hint="eastAsia" w:ascii="仿宋" w:hAnsi="仿宋" w:eastAsia="仿宋" w:cs="仿宋"/>
          <w:color w:val="auto"/>
          <w:sz w:val="32"/>
          <w:szCs w:val="32"/>
          <w:highlight w:val="none"/>
        </w:rPr>
        <w:t>万元，</w:t>
      </w:r>
      <w:r>
        <w:rPr>
          <w:rFonts w:ascii="仿宋" w:hAnsi="仿宋" w:eastAsia="仿宋" w:cs="仿宋"/>
          <w:color w:val="auto"/>
          <w:sz w:val="32"/>
          <w:u w:color="auto"/>
        </w:rPr>
        <w:t>增长243.47%</w:t>
      </w:r>
      <w:r>
        <w:rPr>
          <w:rFonts w:hint="eastAsia" w:ascii="仿宋" w:hAnsi="仿宋" w:eastAsia="仿宋" w:cs="仿宋"/>
          <w:color w:val="auto"/>
          <w:sz w:val="32"/>
          <w:szCs w:val="32"/>
          <w:highlight w:val="none"/>
        </w:rPr>
        <w:t>。其中：基本支出</w:t>
      </w:r>
      <w:r>
        <w:rPr>
          <w:rFonts w:ascii="仿宋" w:hAnsi="仿宋" w:eastAsia="仿宋" w:cs="仿宋"/>
          <w:color w:val="auto"/>
          <w:sz w:val="32"/>
          <w:u w:color="auto"/>
        </w:rPr>
        <w:t>1296.36</w:t>
      </w:r>
      <w:r>
        <w:rPr>
          <w:rFonts w:hint="eastAsia" w:ascii="仿宋" w:hAnsi="仿宋" w:eastAsia="仿宋" w:cs="仿宋"/>
          <w:color w:val="auto"/>
          <w:sz w:val="32"/>
          <w:szCs w:val="32"/>
          <w:highlight w:val="none"/>
        </w:rPr>
        <w:t>万元，项目支出</w:t>
      </w:r>
      <w:r>
        <w:rPr>
          <w:rFonts w:ascii="仿宋" w:hAnsi="仿宋" w:eastAsia="仿宋" w:cs="仿宋"/>
          <w:color w:val="auto"/>
          <w:sz w:val="32"/>
          <w:u w:color="auto"/>
        </w:rPr>
        <w:t>6482.14</w:t>
      </w:r>
      <w:r>
        <w:rPr>
          <w:rFonts w:hint="eastAsia" w:ascii="仿宋" w:hAnsi="仿宋" w:eastAsia="仿宋" w:cs="仿宋"/>
          <w:color w:val="auto"/>
          <w:sz w:val="32"/>
          <w:szCs w:val="32"/>
          <w:highlight w:val="none"/>
        </w:rPr>
        <w:t>万元。</w:t>
      </w:r>
    </w:p>
    <w:p>
      <w:pPr>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河池市生态环境局2022 年度一般公共预算财政拨款支出年初预算为</w:t>
      </w:r>
      <w:r>
        <w:rPr>
          <w:rFonts w:ascii="仿宋" w:hAnsi="仿宋" w:eastAsia="仿宋" w:cs="仿宋"/>
          <w:color w:val="auto"/>
          <w:sz w:val="32"/>
          <w:u w:color="auto"/>
        </w:rPr>
        <w:t>6029.35</w:t>
      </w:r>
      <w:r>
        <w:rPr>
          <w:rFonts w:hint="eastAsia" w:ascii="仿宋" w:hAnsi="仿宋" w:eastAsia="仿宋" w:cs="仿宋"/>
          <w:color w:val="auto"/>
          <w:sz w:val="32"/>
          <w:szCs w:val="32"/>
          <w:highlight w:val="none"/>
        </w:rPr>
        <w:t>万元，支出决算为</w:t>
      </w:r>
      <w:r>
        <w:rPr>
          <w:rFonts w:ascii="仿宋" w:hAnsi="仿宋" w:eastAsia="仿宋" w:cs="仿宋"/>
          <w:color w:val="auto"/>
          <w:sz w:val="32"/>
          <w:u w:color="auto"/>
        </w:rPr>
        <w:t>7778.50</w:t>
      </w:r>
      <w:r>
        <w:rPr>
          <w:rFonts w:hint="eastAsia" w:ascii="仿宋" w:hAnsi="仿宋" w:eastAsia="仿宋" w:cs="仿宋"/>
          <w:color w:val="auto"/>
          <w:sz w:val="32"/>
          <w:szCs w:val="32"/>
          <w:highlight w:val="none"/>
        </w:rPr>
        <w:t>万元，完成年初预算的</w:t>
      </w:r>
      <w:r>
        <w:rPr>
          <w:rFonts w:ascii="仿宋" w:hAnsi="仿宋" w:eastAsia="仿宋" w:cs="仿宋"/>
          <w:color w:val="auto"/>
          <w:sz w:val="32"/>
          <w:u w:color="auto"/>
        </w:rPr>
        <w:t>129.01%</w:t>
      </w:r>
      <w:r>
        <w:rPr>
          <w:rFonts w:hint="eastAsia" w:ascii="仿宋" w:hAnsi="仿宋" w:eastAsia="仿宋" w:cs="仿宋"/>
          <w:color w:val="auto"/>
          <w:sz w:val="32"/>
          <w:szCs w:val="32"/>
          <w:highlight w:val="none"/>
        </w:rPr>
        <w:t>。</w:t>
      </w:r>
    </w:p>
    <w:p>
      <w:pPr>
        <w:jc w:val="left"/>
        <w:rPr>
          <w:rFonts w:ascii="仿宋" w:hAnsi="仿宋" w:eastAsia="仿宋"/>
          <w:color w:val="auto"/>
          <w:sz w:val="32"/>
          <w:szCs w:val="32"/>
          <w:highlight w:val="none"/>
        </w:rPr>
      </w:pPr>
      <w:bookmarkStart w:id="3" w:name="OLE_LINK2"/>
      <w:bookmarkEnd w:id="3"/>
      <w:r>
        <w:rPr>
          <w:rFonts w:hint="eastAsia" w:ascii="仿宋" w:hAnsi="仿宋" w:eastAsia="仿宋"/>
          <w:color w:val="auto"/>
          <w:sz w:val="32"/>
          <w:szCs w:val="32"/>
          <w:highlight w:val="none"/>
        </w:rPr>
        <w:t xml:space="preserve"> </w:t>
      </w:r>
    </w:p>
    <w:p>
      <w:pPr>
        <w:keepNext w:val="0"/>
        <w:keepLines w:val="0"/>
        <w:widowControl w:val="0"/>
        <w:numPr>
          <w:ilvl w:val="0"/>
          <w:numId w:val="1"/>
        </w:numPr>
        <w:suppressLineNumbers w:val="0"/>
        <w:spacing w:before="0" w:beforeAutospacing="0" w:after="0" w:afterAutospacing="0"/>
        <w:ind w:left="0" w:leftChars="0" w:right="0" w:rightChars="0" w:firstLine="420" w:firstLineChars="0"/>
        <w:jc w:val="left"/>
        <w:rPr>
          <w:rFonts w:hint="eastAsia" w:eastAsia="仿宋"/>
          <w:color w:val="auto"/>
          <w:highlight w:val="none"/>
          <w:lang w:val="en-US" w:eastAsia="zh-CN"/>
        </w:rPr>
      </w:pPr>
      <w:r>
        <w:rPr>
          <w:rFonts w:hint="eastAsia" w:ascii="仿宋" w:hAnsi="仿宋" w:eastAsia="仿宋"/>
          <w:color w:val="auto"/>
          <w:sz w:val="32"/>
          <w:szCs w:val="32"/>
          <w:highlight w:val="none"/>
        </w:rPr>
        <w:t>一般公共服务支出</w:t>
      </w:r>
      <w:r>
        <w:rPr>
          <w:rFonts w:ascii="仿宋" w:hAnsi="仿宋" w:eastAsia="仿宋"/>
          <w:color w:val="auto"/>
          <w:sz w:val="32"/>
          <w:u w:color="auto"/>
        </w:rPr>
        <w:t>（201</w:t>
      </w:r>
      <w:r>
        <w:rPr>
          <w:rFonts w:hint="eastAsia" w:ascii="仿宋" w:hAnsi="仿宋" w:eastAsia="仿宋"/>
          <w:color w:val="auto"/>
          <w:sz w:val="32"/>
          <w:szCs w:val="32"/>
          <w:highlight w:val="none"/>
        </w:rPr>
        <w:t>类）年初预算为</w:t>
      </w:r>
      <w:r>
        <w:rPr>
          <w:rFonts w:ascii="仿宋" w:hAnsi="仿宋" w:eastAsia="仿宋"/>
          <w:color w:val="auto"/>
          <w:sz w:val="32"/>
          <w:szCs w:val="32"/>
          <w:highlight w:val="none"/>
        </w:rPr>
        <w:t>0.00</w:t>
      </w:r>
      <w:r>
        <w:rPr>
          <w:rFonts w:hint="eastAsia" w:ascii="仿宋" w:hAnsi="仿宋" w:eastAsia="仿宋"/>
          <w:color w:val="auto"/>
          <w:sz w:val="32"/>
          <w:szCs w:val="32"/>
          <w:highlight w:val="none"/>
        </w:rPr>
        <w:t>万元，支出决算为</w:t>
      </w:r>
      <w:r>
        <w:rPr>
          <w:rFonts w:ascii="仿宋" w:hAnsi="仿宋" w:eastAsia="仿宋"/>
          <w:color w:val="auto"/>
          <w:sz w:val="32"/>
          <w:szCs w:val="32"/>
          <w:highlight w:val="none"/>
        </w:rPr>
        <w:t>11.21</w:t>
      </w:r>
      <w:r>
        <w:rPr>
          <w:rFonts w:hint="eastAsia" w:ascii="仿宋" w:hAnsi="仿宋" w:eastAsia="仿宋"/>
          <w:color w:val="auto"/>
          <w:sz w:val="32"/>
          <w:szCs w:val="32"/>
          <w:highlight w:val="none"/>
        </w:rPr>
        <w:t>万元，完成年初预算的</w:t>
      </w:r>
      <w:r>
        <w:rPr>
          <w:rFonts w:ascii="仿宋" w:hAnsi="仿宋" w:eastAsia="仿宋"/>
          <w:color w:val="auto"/>
          <w:sz w:val="32"/>
          <w:szCs w:val="32"/>
          <w:highlight w:val="none"/>
        </w:rPr>
        <w:t>100.00%</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rPr>
        <w:t>预决算</w:t>
      </w:r>
      <w:r>
        <w:rPr>
          <w:rFonts w:hint="eastAsia" w:ascii="仿宋" w:hAnsi="仿宋" w:eastAsia="仿宋"/>
          <w:color w:val="auto"/>
          <w:sz w:val="32"/>
          <w:szCs w:val="32"/>
          <w:highlight w:val="none"/>
          <w:lang w:val="en-US" w:eastAsia="zh-CN"/>
        </w:rPr>
        <w:t>存有</w:t>
      </w:r>
      <w:r>
        <w:rPr>
          <w:rFonts w:hint="eastAsia" w:ascii="仿宋" w:hAnsi="仿宋" w:eastAsia="仿宋"/>
          <w:color w:val="auto"/>
          <w:sz w:val="32"/>
          <w:szCs w:val="32"/>
          <w:highlight w:val="none"/>
        </w:rPr>
        <w:t>差异</w:t>
      </w:r>
      <w:r>
        <w:rPr>
          <w:rFonts w:hint="eastAsia" w:ascii="仿宋" w:hAnsi="仿宋" w:eastAsia="仿宋"/>
          <w:color w:val="auto"/>
          <w:sz w:val="32"/>
          <w:szCs w:val="32"/>
          <w:highlight w:val="none"/>
          <w:lang w:val="en-US" w:eastAsia="zh-CN"/>
        </w:rPr>
        <w:t>原因是：</w:t>
      </w:r>
      <w:r>
        <w:rPr>
          <w:rFonts w:hint="eastAsia" w:ascii="仿宋" w:hAnsi="仿宋" w:eastAsia="仿宋" w:cs="仿宋"/>
          <w:color w:val="auto"/>
          <w:kern w:val="2"/>
          <w:sz w:val="32"/>
          <w:szCs w:val="32"/>
          <w:highlight w:val="none"/>
          <w:lang w:val="en-US" w:eastAsia="zh-CN" w:bidi="ar"/>
        </w:rPr>
        <w:t>新增河池市水生态环境保护 “十四五”规划编制项目和人员经费。</w:t>
      </w:r>
    </w:p>
    <w:p>
      <w:pPr>
        <w:jc w:val="left"/>
        <w:rPr>
          <w:rFonts w:hint="eastAsia" w:ascii="仿宋" w:hAnsi="仿宋" w:eastAsia="仿宋"/>
          <w:color w:val="auto"/>
          <w:sz w:val="32"/>
          <w:szCs w:val="32"/>
          <w:highlight w:val="none"/>
        </w:rPr>
      </w:pPr>
      <w:r>
        <w:rPr>
          <w:rFonts w:hint="eastAsia" w:ascii="仿宋" w:hAnsi="仿宋" w:eastAsia="仿宋"/>
          <w:color w:val="auto"/>
          <w:sz w:val="32"/>
          <w:szCs w:val="32"/>
          <w:highlight w:val="none"/>
          <w:lang w:val="en-US" w:eastAsia="zh-CN"/>
        </w:rPr>
        <w:t>支出具体情况如下</w:t>
      </w:r>
      <w:r>
        <w:rPr>
          <w:rFonts w:hint="eastAsia" w:ascii="仿宋" w:hAnsi="仿宋" w:eastAsia="仿宋"/>
          <w:color w:val="auto"/>
          <w:sz w:val="32"/>
          <w:szCs w:val="32"/>
          <w:highlight w:val="none"/>
        </w:rPr>
        <w:t>：</w:t>
      </w:r>
    </w:p>
    <w:tbl>
      <w:tblPr>
        <w:tblStyle w:val="6"/>
        <w:tblW w:w="853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55"/>
        <w:gridCol w:w="1076"/>
        <w:gridCol w:w="994"/>
        <w:gridCol w:w="806"/>
        <w:gridCol w:w="1097"/>
        <w:gridCol w:w="1783"/>
        <w:gridCol w:w="18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20"/>
                <w:szCs w:val="20"/>
                <w:highlight w:val="none"/>
                <w:u w:val="none"/>
                <w:lang w:val="en-US"/>
              </w:rPr>
            </w:pPr>
            <w:r>
              <w:rPr>
                <w:rFonts w:hint="eastAsia" w:ascii="宋体" w:hAnsi="宋体" w:eastAsia="宋体" w:cs="宋体"/>
                <w:i w:val="0"/>
                <w:iCs w:val="0"/>
                <w:color w:val="auto"/>
                <w:kern w:val="0"/>
                <w:sz w:val="20"/>
                <w:szCs w:val="20"/>
                <w:highlight w:val="none"/>
                <w:u w:val="none"/>
                <w:lang w:val="en-US" w:eastAsia="zh-CN" w:bidi="ar"/>
              </w:rPr>
              <w:t>类款项</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科目名称</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年初预算数</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决算</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20"/>
                <w:szCs w:val="20"/>
                <w:highlight w:val="none"/>
                <w:u w:val="none"/>
                <w:lang w:val="en-US"/>
              </w:rPr>
            </w:pPr>
            <w:r>
              <w:rPr>
                <w:rFonts w:hint="eastAsia" w:ascii="宋体" w:hAnsi="宋体" w:eastAsia="宋体" w:cs="宋体"/>
                <w:i w:val="0"/>
                <w:iCs w:val="0"/>
                <w:color w:val="auto"/>
                <w:kern w:val="0"/>
                <w:sz w:val="20"/>
                <w:szCs w:val="20"/>
                <w:highlight w:val="none"/>
                <w:u w:val="none"/>
                <w:lang w:val="en-US" w:eastAsia="zh-CN" w:bidi="ar"/>
              </w:rPr>
              <w:t>完成预算百分比</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主要用于</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2011301</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行政运行</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0.00</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2"/>
                <w:sz w:val="18"/>
                <w:szCs w:val="18"/>
                <w:highlight w:val="none"/>
                <w:u w:val="none"/>
                <w:lang w:val="en-US" w:eastAsia="zh-CN" w:bidi="ar-SA"/>
              </w:rPr>
              <w:t>1.34</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100.00%</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 w:hAnsi="仿宋" w:eastAsia="仿宋" w:cs="仿宋"/>
                <w:color w:val="auto"/>
                <w:sz w:val="21"/>
                <w:szCs w:val="21"/>
                <w:highlight w:val="none"/>
                <w:lang w:val="en-US" w:eastAsia="zh-CN"/>
              </w:rPr>
              <w:t>人员工资</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 w:hAnsi="仿宋" w:eastAsia="仿宋" w:cs="仿宋"/>
                <w:color w:val="auto"/>
                <w:sz w:val="18"/>
                <w:szCs w:val="18"/>
                <w:highlight w:val="none"/>
                <w:lang w:val="en-US" w:eastAsia="zh-CN"/>
              </w:rPr>
              <w:t>当年预算指标调剂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2019999</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其他一般公共服务支出</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0.00</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2"/>
                <w:sz w:val="18"/>
                <w:szCs w:val="18"/>
                <w:highlight w:val="none"/>
                <w:u w:val="none"/>
                <w:lang w:val="en-US" w:eastAsia="zh-CN" w:bidi="ar-SA"/>
              </w:rPr>
              <w:t>9.87</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100.00%</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 w:hAnsi="仿宋" w:eastAsia="仿宋" w:cs="仿宋"/>
                <w:color w:val="auto"/>
                <w:kern w:val="2"/>
                <w:sz w:val="18"/>
                <w:szCs w:val="18"/>
                <w:highlight w:val="none"/>
                <w:lang w:val="en-US" w:eastAsia="zh-CN" w:bidi="ar"/>
              </w:rPr>
              <w:t>河池市水生态环境保护 “十四五”规划编制项目</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 w:hAnsi="仿宋" w:eastAsia="仿宋" w:cs="仿宋"/>
                <w:color w:val="auto"/>
                <w:sz w:val="18"/>
                <w:szCs w:val="18"/>
                <w:highlight w:val="none"/>
                <w:lang w:val="en-US" w:eastAsia="zh-CN"/>
              </w:rPr>
              <w:t>河池市2021年规划经费结转资金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合计数</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0"/>
                <w:szCs w:val="20"/>
                <w:highlight w:val="none"/>
                <w:u w:val="none"/>
                <w:lang w:val="en-US" w:eastAsia="zh-CN"/>
              </w:rPr>
            </w:pP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0.00</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2"/>
                <w:sz w:val="18"/>
                <w:szCs w:val="18"/>
                <w:highlight w:val="none"/>
                <w:u w:val="none"/>
                <w:lang w:val="en-US" w:eastAsia="zh-CN" w:bidi="ar-SA"/>
              </w:rPr>
              <w:t>11.21</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 w:hAnsi="仿宋" w:eastAsia="仿宋" w:cs="仿宋"/>
                <w:color w:val="auto"/>
                <w:sz w:val="21"/>
                <w:szCs w:val="21"/>
                <w:highlight w:val="none"/>
                <w:lang w:val="en-US" w:eastAsia="zh-CN"/>
              </w:rPr>
              <w:t>人员及项目经费</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 w:hAnsi="仿宋" w:eastAsia="仿宋" w:cs="仿宋"/>
                <w:color w:val="auto"/>
                <w:sz w:val="18"/>
                <w:szCs w:val="18"/>
                <w:highlight w:val="none"/>
                <w:lang w:val="en-US" w:eastAsia="zh-CN"/>
              </w:rPr>
              <w:t>指标调剂和结转资金</w:t>
            </w:r>
          </w:p>
        </w:tc>
      </w:tr>
    </w:tbl>
    <w:p>
      <w:pPr>
        <w:jc w:val="left"/>
        <w:rPr>
          <w:rFonts w:hint="eastAsia" w:ascii="仿宋" w:hAnsi="仿宋" w:eastAsia="仿宋"/>
          <w:color w:val="auto"/>
          <w:sz w:val="32"/>
          <w:szCs w:val="32"/>
          <w:highlight w:val="none"/>
        </w:rPr>
      </w:pPr>
    </w:p>
    <w:p>
      <w:pPr>
        <w:jc w:val="center"/>
        <w:rPr>
          <w:rFonts w:ascii="仿宋" w:hAnsi="仿宋" w:eastAsia="仿宋"/>
          <w:color w:val="auto"/>
          <w:sz w:val="32"/>
          <w:szCs w:val="32"/>
          <w:highlight w:val="none"/>
        </w:rPr>
      </w:pPr>
      <w:r>
        <w:rPr>
          <w:rFonts w:hint="eastAsia" w:ascii="仿宋" w:hAnsi="仿宋" w:eastAsia="仿宋" w:cs="仿宋"/>
          <w:color w:val="auto"/>
          <w:sz w:val="32"/>
          <w:szCs w:val="32"/>
          <w:highlight w:val="none"/>
        </w:rPr>
        <w:drawing>
          <wp:inline distT="0" distB="0" distL="114300" distR="114300">
            <wp:extent cx="4474845" cy="3215640"/>
            <wp:effectExtent l="4445" t="4445" r="16510" b="5715"/>
            <wp:docPr id="6" name="图表 4" title="{{ybggysgnkm_chart}}"/>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keepNext w:val="0"/>
        <w:keepLines w:val="0"/>
        <w:widowControl w:val="0"/>
        <w:numPr>
          <w:ilvl w:val="0"/>
          <w:numId w:val="1"/>
        </w:numPr>
        <w:suppressLineNumbers w:val="0"/>
        <w:spacing w:before="0" w:beforeAutospacing="0" w:after="0" w:afterAutospacing="0"/>
        <w:ind w:left="0" w:leftChars="0" w:right="0" w:rightChars="0" w:firstLine="420" w:firstLineChars="0"/>
        <w:jc w:val="left"/>
        <w:rPr>
          <w:rFonts w:hint="eastAsia" w:eastAsia="仿宋"/>
          <w:color w:val="auto"/>
          <w:highlight w:val="none"/>
          <w:lang w:val="en-US" w:eastAsia="zh-CN"/>
        </w:rPr>
      </w:pPr>
      <w:r>
        <w:rPr>
          <w:rFonts w:hint="eastAsia" w:ascii="仿宋" w:hAnsi="仿宋" w:eastAsia="仿宋"/>
          <w:color w:val="auto"/>
          <w:sz w:val="32"/>
          <w:szCs w:val="32"/>
          <w:highlight w:val="none"/>
        </w:rPr>
        <w:t>社会保障和就业支出</w:t>
      </w:r>
      <w:r>
        <w:rPr>
          <w:rFonts w:ascii="仿宋" w:hAnsi="仿宋" w:eastAsia="仿宋"/>
          <w:color w:val="auto"/>
          <w:sz w:val="32"/>
          <w:u w:color="auto"/>
        </w:rPr>
        <w:t>（208</w:t>
      </w:r>
      <w:r>
        <w:rPr>
          <w:rFonts w:hint="eastAsia" w:ascii="仿宋" w:hAnsi="仿宋" w:eastAsia="仿宋"/>
          <w:color w:val="auto"/>
          <w:sz w:val="32"/>
          <w:szCs w:val="32"/>
          <w:highlight w:val="none"/>
        </w:rPr>
        <w:t>类）年初预算为</w:t>
      </w:r>
      <w:r>
        <w:rPr>
          <w:rFonts w:ascii="仿宋" w:hAnsi="仿宋" w:eastAsia="仿宋"/>
          <w:color w:val="auto"/>
          <w:sz w:val="32"/>
          <w:szCs w:val="32"/>
          <w:highlight w:val="none"/>
        </w:rPr>
        <w:t>127.57</w:t>
      </w:r>
      <w:r>
        <w:rPr>
          <w:rFonts w:hint="eastAsia" w:ascii="仿宋" w:hAnsi="仿宋" w:eastAsia="仿宋"/>
          <w:color w:val="auto"/>
          <w:sz w:val="32"/>
          <w:szCs w:val="32"/>
          <w:highlight w:val="none"/>
        </w:rPr>
        <w:t>万元，支出决算为</w:t>
      </w:r>
      <w:r>
        <w:rPr>
          <w:rFonts w:ascii="仿宋" w:hAnsi="仿宋" w:eastAsia="仿宋"/>
          <w:color w:val="auto"/>
          <w:sz w:val="32"/>
          <w:szCs w:val="32"/>
          <w:highlight w:val="none"/>
        </w:rPr>
        <w:t>127.57</w:t>
      </w:r>
      <w:r>
        <w:rPr>
          <w:rFonts w:hint="eastAsia" w:ascii="仿宋" w:hAnsi="仿宋" w:eastAsia="仿宋"/>
          <w:color w:val="auto"/>
          <w:sz w:val="32"/>
          <w:szCs w:val="32"/>
          <w:highlight w:val="none"/>
        </w:rPr>
        <w:t>万元，完成年初预算的</w:t>
      </w:r>
      <w:r>
        <w:rPr>
          <w:rFonts w:ascii="仿宋" w:hAnsi="仿宋" w:eastAsia="仿宋"/>
          <w:color w:val="auto"/>
          <w:sz w:val="32"/>
          <w:szCs w:val="32"/>
          <w:highlight w:val="none"/>
        </w:rPr>
        <w:t>100.00%</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rPr>
        <w:t>预决算</w:t>
      </w:r>
      <w:r>
        <w:rPr>
          <w:rFonts w:hint="eastAsia" w:ascii="仿宋" w:hAnsi="仿宋" w:eastAsia="仿宋" w:cs="仿宋"/>
          <w:color w:val="auto"/>
          <w:kern w:val="2"/>
          <w:sz w:val="32"/>
          <w:szCs w:val="32"/>
          <w:highlight w:val="none"/>
          <w:lang w:val="en-US" w:eastAsia="zh-CN" w:bidi="ar"/>
        </w:rPr>
        <w:t>无</w:t>
      </w:r>
      <w:r>
        <w:rPr>
          <w:rFonts w:hint="eastAsia" w:ascii="仿宋" w:hAnsi="仿宋" w:eastAsia="仿宋"/>
          <w:color w:val="auto"/>
          <w:sz w:val="32"/>
          <w:szCs w:val="32"/>
          <w:highlight w:val="none"/>
        </w:rPr>
        <w:t>差异</w:t>
      </w:r>
      <w:r>
        <w:rPr>
          <w:rFonts w:hint="eastAsia" w:ascii="仿宋" w:hAnsi="仿宋" w:eastAsia="仿宋" w:cs="仿宋"/>
          <w:color w:val="auto"/>
          <w:kern w:val="2"/>
          <w:sz w:val="32"/>
          <w:szCs w:val="32"/>
          <w:highlight w:val="none"/>
          <w:lang w:val="en-US" w:eastAsia="zh-CN" w:bidi="ar"/>
        </w:rPr>
        <w:t>。</w:t>
      </w:r>
    </w:p>
    <w:p>
      <w:pPr>
        <w:jc w:val="left"/>
        <w:rPr>
          <w:rFonts w:hint="eastAsia" w:ascii="仿宋" w:hAnsi="仿宋" w:eastAsia="仿宋"/>
          <w:color w:val="auto"/>
          <w:sz w:val="32"/>
          <w:szCs w:val="32"/>
          <w:highlight w:val="none"/>
        </w:rPr>
      </w:pPr>
      <w:r>
        <w:rPr>
          <w:rFonts w:hint="eastAsia" w:ascii="仿宋" w:hAnsi="仿宋" w:eastAsia="仿宋"/>
          <w:color w:val="auto"/>
          <w:sz w:val="32"/>
          <w:szCs w:val="32"/>
          <w:highlight w:val="none"/>
          <w:lang w:val="en-US" w:eastAsia="zh-CN"/>
        </w:rPr>
        <w:t>支出具体情况如下</w:t>
      </w:r>
      <w:r>
        <w:rPr>
          <w:rFonts w:hint="eastAsia" w:ascii="仿宋" w:hAnsi="仿宋" w:eastAsia="仿宋"/>
          <w:color w:val="auto"/>
          <w:sz w:val="32"/>
          <w:szCs w:val="32"/>
          <w:highlight w:val="none"/>
        </w:rPr>
        <w:t>：</w:t>
      </w:r>
    </w:p>
    <w:tbl>
      <w:tblPr>
        <w:tblStyle w:val="6"/>
        <w:tblW w:w="853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55"/>
        <w:gridCol w:w="1076"/>
        <w:gridCol w:w="994"/>
        <w:gridCol w:w="806"/>
        <w:gridCol w:w="1097"/>
        <w:gridCol w:w="1783"/>
        <w:gridCol w:w="18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20"/>
                <w:szCs w:val="20"/>
                <w:highlight w:val="none"/>
                <w:u w:val="none"/>
                <w:lang w:val="en-US"/>
              </w:rPr>
            </w:pPr>
            <w:r>
              <w:rPr>
                <w:rFonts w:hint="eastAsia" w:ascii="宋体" w:hAnsi="宋体" w:eastAsia="宋体" w:cs="宋体"/>
                <w:i w:val="0"/>
                <w:iCs w:val="0"/>
                <w:color w:val="auto"/>
                <w:kern w:val="0"/>
                <w:sz w:val="20"/>
                <w:szCs w:val="20"/>
                <w:highlight w:val="none"/>
                <w:u w:val="none"/>
                <w:lang w:val="en-US" w:eastAsia="zh-CN" w:bidi="ar"/>
              </w:rPr>
              <w:t>类款项</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科目名称</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年初预算数</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决算</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20"/>
                <w:szCs w:val="20"/>
                <w:highlight w:val="none"/>
                <w:u w:val="none"/>
                <w:lang w:val="en-US"/>
              </w:rPr>
            </w:pPr>
            <w:r>
              <w:rPr>
                <w:rFonts w:hint="eastAsia" w:ascii="宋体" w:hAnsi="宋体" w:eastAsia="宋体" w:cs="宋体"/>
                <w:i w:val="0"/>
                <w:iCs w:val="0"/>
                <w:color w:val="auto"/>
                <w:kern w:val="0"/>
                <w:sz w:val="20"/>
                <w:szCs w:val="20"/>
                <w:highlight w:val="none"/>
                <w:u w:val="none"/>
                <w:lang w:val="en-US" w:eastAsia="zh-CN" w:bidi="ar"/>
              </w:rPr>
              <w:t>完成预算百分比</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主要用于</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2080505</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机关事业单位基本养老保险缴费支出</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127.07</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2"/>
                <w:sz w:val="18"/>
                <w:szCs w:val="18"/>
                <w:highlight w:val="none"/>
                <w:u w:val="none"/>
                <w:lang w:val="en-US" w:eastAsia="zh-CN" w:bidi="ar-SA"/>
              </w:rPr>
              <w:t>127.07</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100.00%</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 w:hAnsi="仿宋" w:eastAsia="仿宋" w:cs="仿宋"/>
                <w:color w:val="auto"/>
                <w:sz w:val="18"/>
                <w:szCs w:val="18"/>
                <w:highlight w:val="none"/>
                <w:lang w:val="en-US" w:eastAsia="zh-CN"/>
              </w:rPr>
              <w:t>职工社会保障缴费</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 w:hAnsi="仿宋" w:eastAsia="仿宋" w:cs="仿宋"/>
                <w:color w:val="auto"/>
                <w:sz w:val="18"/>
                <w:szCs w:val="18"/>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2089999</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其他社会保障和就业支出</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0.50</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2"/>
                <w:sz w:val="18"/>
                <w:szCs w:val="18"/>
                <w:highlight w:val="none"/>
                <w:u w:val="none"/>
                <w:lang w:val="en-US" w:eastAsia="zh-CN" w:bidi="ar-SA"/>
              </w:rPr>
              <w:t>0.50</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100.00%</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 w:hAnsi="仿宋" w:eastAsia="仿宋" w:cs="仿宋"/>
                <w:color w:val="auto"/>
                <w:sz w:val="18"/>
                <w:szCs w:val="18"/>
                <w:highlight w:val="none"/>
                <w:lang w:val="en-US" w:eastAsia="zh-CN"/>
              </w:rPr>
              <w:t>职工社会保障缴费</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 w:hAnsi="仿宋" w:eastAsia="仿宋" w:cs="仿宋"/>
                <w:color w:val="auto"/>
                <w:sz w:val="18"/>
                <w:szCs w:val="18"/>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合计数</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0"/>
                <w:szCs w:val="20"/>
                <w:highlight w:val="none"/>
                <w:u w:val="none"/>
                <w:lang w:val="en-US" w:eastAsia="zh-CN"/>
              </w:rPr>
            </w:pP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114.78</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2"/>
                <w:sz w:val="18"/>
                <w:szCs w:val="18"/>
                <w:highlight w:val="none"/>
                <w:u w:val="none"/>
                <w:lang w:val="en-US" w:eastAsia="zh-CN" w:bidi="ar-SA"/>
              </w:rPr>
              <w:t>127.57</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 w:hAnsi="仿宋" w:eastAsia="仿宋" w:cs="仿宋"/>
                <w:color w:val="auto"/>
                <w:sz w:val="18"/>
                <w:szCs w:val="18"/>
                <w:highlight w:val="none"/>
                <w:lang w:val="en-US" w:eastAsia="zh-CN"/>
              </w:rPr>
              <w:t>职工社会保障缴费</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 w:hAnsi="仿宋" w:eastAsia="仿宋" w:cs="仿宋"/>
                <w:color w:val="auto"/>
                <w:sz w:val="18"/>
                <w:szCs w:val="18"/>
                <w:highlight w:val="none"/>
                <w:lang w:val="en-US" w:eastAsia="zh-CN"/>
              </w:rPr>
              <w:t>职工社会保障缴费</w:t>
            </w:r>
          </w:p>
        </w:tc>
      </w:tr>
    </w:tbl>
    <w:p>
      <w:pPr>
        <w:jc w:val="left"/>
        <w:rPr>
          <w:rFonts w:hint="eastAsia" w:ascii="仿宋" w:hAnsi="仿宋" w:eastAsia="仿宋"/>
          <w:color w:val="auto"/>
          <w:sz w:val="32"/>
          <w:szCs w:val="32"/>
          <w:highlight w:val="none"/>
        </w:rPr>
      </w:pPr>
    </w:p>
    <w:p>
      <w:pPr>
        <w:jc w:val="center"/>
        <w:rPr>
          <w:rFonts w:ascii="仿宋" w:hAnsi="仿宋" w:eastAsia="仿宋"/>
          <w:color w:val="auto"/>
          <w:sz w:val="32"/>
          <w:szCs w:val="32"/>
          <w:highlight w:val="none"/>
        </w:rPr>
      </w:pPr>
      <w:r>
        <w:rPr>
          <w:rFonts w:hint="eastAsia" w:ascii="仿宋" w:hAnsi="仿宋" w:eastAsia="仿宋" w:cs="仿宋"/>
          <w:color w:val="auto"/>
          <w:sz w:val="32"/>
          <w:szCs w:val="32"/>
          <w:highlight w:val="none"/>
        </w:rPr>
        <w:drawing>
          <wp:inline distT="0" distB="0" distL="114300" distR="114300">
            <wp:extent cx="4474845" cy="3215640"/>
            <wp:effectExtent l="4445" t="4445" r="16510" b="5715"/>
            <wp:docPr id="8" name="图表 4" title="{{ybggysgnkm_chart}}"/>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keepNext w:val="0"/>
        <w:keepLines w:val="0"/>
        <w:widowControl w:val="0"/>
        <w:numPr>
          <w:ilvl w:val="0"/>
          <w:numId w:val="1"/>
        </w:numPr>
        <w:suppressLineNumbers w:val="0"/>
        <w:spacing w:before="0" w:beforeAutospacing="0" w:after="0" w:afterAutospacing="0"/>
        <w:ind w:left="0" w:leftChars="0" w:right="0" w:rightChars="0" w:firstLine="420" w:firstLineChars="0"/>
        <w:jc w:val="left"/>
        <w:rPr>
          <w:rFonts w:hint="eastAsia" w:eastAsia="仿宋"/>
          <w:color w:val="auto"/>
          <w:highlight w:val="none"/>
          <w:lang w:val="en-US" w:eastAsia="zh-CN"/>
        </w:rPr>
      </w:pPr>
      <w:r>
        <w:rPr>
          <w:rFonts w:hint="eastAsia" w:ascii="仿宋" w:hAnsi="仿宋" w:eastAsia="仿宋"/>
          <w:color w:val="auto"/>
          <w:sz w:val="32"/>
          <w:szCs w:val="32"/>
          <w:highlight w:val="none"/>
        </w:rPr>
        <w:t>卫生健康支出</w:t>
      </w:r>
      <w:r>
        <w:rPr>
          <w:rFonts w:ascii="仿宋" w:hAnsi="仿宋" w:eastAsia="仿宋"/>
          <w:color w:val="auto"/>
          <w:sz w:val="32"/>
          <w:u w:color="auto"/>
        </w:rPr>
        <w:t>（210</w:t>
      </w:r>
      <w:r>
        <w:rPr>
          <w:rFonts w:hint="eastAsia" w:ascii="仿宋" w:hAnsi="仿宋" w:eastAsia="仿宋"/>
          <w:color w:val="auto"/>
          <w:sz w:val="32"/>
          <w:szCs w:val="32"/>
          <w:highlight w:val="none"/>
        </w:rPr>
        <w:t>类）年初预算为</w:t>
      </w:r>
      <w:r>
        <w:rPr>
          <w:rFonts w:ascii="仿宋" w:hAnsi="仿宋" w:eastAsia="仿宋"/>
          <w:color w:val="auto"/>
          <w:sz w:val="32"/>
          <w:szCs w:val="32"/>
          <w:highlight w:val="none"/>
        </w:rPr>
        <w:t>88.96</w:t>
      </w:r>
      <w:r>
        <w:rPr>
          <w:rFonts w:hint="eastAsia" w:ascii="仿宋" w:hAnsi="仿宋" w:eastAsia="仿宋"/>
          <w:color w:val="auto"/>
          <w:sz w:val="32"/>
          <w:szCs w:val="32"/>
          <w:highlight w:val="none"/>
        </w:rPr>
        <w:t>万元，支出决算为</w:t>
      </w:r>
      <w:r>
        <w:rPr>
          <w:rFonts w:ascii="仿宋" w:hAnsi="仿宋" w:eastAsia="仿宋"/>
          <w:color w:val="auto"/>
          <w:sz w:val="32"/>
          <w:szCs w:val="32"/>
          <w:highlight w:val="none"/>
        </w:rPr>
        <w:t>85.17</w:t>
      </w:r>
      <w:r>
        <w:rPr>
          <w:rFonts w:hint="eastAsia" w:ascii="仿宋" w:hAnsi="仿宋" w:eastAsia="仿宋"/>
          <w:color w:val="auto"/>
          <w:sz w:val="32"/>
          <w:szCs w:val="32"/>
          <w:highlight w:val="none"/>
        </w:rPr>
        <w:t>万元，完成年初预算的</w:t>
      </w:r>
      <w:r>
        <w:rPr>
          <w:rFonts w:ascii="仿宋" w:hAnsi="仿宋" w:eastAsia="仿宋"/>
          <w:color w:val="auto"/>
          <w:sz w:val="32"/>
          <w:szCs w:val="32"/>
          <w:highlight w:val="none"/>
        </w:rPr>
        <w:t>95.74%</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rPr>
        <w:t>预决算</w:t>
      </w:r>
      <w:r>
        <w:rPr>
          <w:rFonts w:hint="eastAsia" w:ascii="仿宋" w:hAnsi="仿宋" w:eastAsia="仿宋"/>
          <w:color w:val="auto"/>
          <w:sz w:val="32"/>
          <w:szCs w:val="32"/>
          <w:highlight w:val="none"/>
          <w:lang w:val="en-US" w:eastAsia="zh-CN"/>
        </w:rPr>
        <w:t>存有</w:t>
      </w:r>
      <w:r>
        <w:rPr>
          <w:rFonts w:hint="eastAsia" w:ascii="仿宋" w:hAnsi="仿宋" w:eastAsia="仿宋"/>
          <w:color w:val="auto"/>
          <w:sz w:val="32"/>
          <w:szCs w:val="32"/>
          <w:highlight w:val="none"/>
        </w:rPr>
        <w:t>差异</w:t>
      </w:r>
      <w:r>
        <w:rPr>
          <w:rFonts w:hint="eastAsia" w:ascii="仿宋" w:hAnsi="仿宋" w:eastAsia="仿宋"/>
          <w:color w:val="auto"/>
          <w:sz w:val="32"/>
          <w:szCs w:val="32"/>
          <w:highlight w:val="none"/>
          <w:lang w:val="en-US" w:eastAsia="zh-CN"/>
        </w:rPr>
        <w:t>原因是：</w:t>
      </w:r>
      <w:r>
        <w:rPr>
          <w:rFonts w:hint="eastAsia" w:ascii="仿宋" w:hAnsi="仿宋" w:eastAsia="仿宋" w:cs="仿宋"/>
          <w:color w:val="auto"/>
          <w:kern w:val="2"/>
          <w:sz w:val="32"/>
          <w:szCs w:val="32"/>
          <w:highlight w:val="none"/>
          <w:lang w:val="en-US" w:eastAsia="zh-CN" w:bidi="ar"/>
        </w:rPr>
        <w:t>人员退休缴费减少。</w:t>
      </w:r>
    </w:p>
    <w:p>
      <w:pPr>
        <w:jc w:val="left"/>
        <w:rPr>
          <w:rFonts w:hint="eastAsia" w:ascii="仿宋" w:hAnsi="仿宋" w:eastAsia="仿宋"/>
          <w:color w:val="auto"/>
          <w:sz w:val="32"/>
          <w:szCs w:val="32"/>
          <w:highlight w:val="none"/>
        </w:rPr>
      </w:pPr>
      <w:r>
        <w:rPr>
          <w:rFonts w:hint="eastAsia" w:ascii="仿宋" w:hAnsi="仿宋" w:eastAsia="仿宋"/>
          <w:color w:val="auto"/>
          <w:sz w:val="32"/>
          <w:szCs w:val="32"/>
          <w:highlight w:val="none"/>
          <w:lang w:val="en-US" w:eastAsia="zh-CN"/>
        </w:rPr>
        <w:t>支出具体情况如下</w:t>
      </w:r>
      <w:r>
        <w:rPr>
          <w:rFonts w:hint="eastAsia" w:ascii="仿宋" w:hAnsi="仿宋" w:eastAsia="仿宋"/>
          <w:color w:val="auto"/>
          <w:sz w:val="32"/>
          <w:szCs w:val="32"/>
          <w:highlight w:val="none"/>
        </w:rPr>
        <w:t>：</w:t>
      </w:r>
    </w:p>
    <w:tbl>
      <w:tblPr>
        <w:tblStyle w:val="6"/>
        <w:tblW w:w="853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55"/>
        <w:gridCol w:w="1076"/>
        <w:gridCol w:w="994"/>
        <w:gridCol w:w="806"/>
        <w:gridCol w:w="1097"/>
        <w:gridCol w:w="1783"/>
        <w:gridCol w:w="18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20"/>
                <w:szCs w:val="20"/>
                <w:highlight w:val="none"/>
                <w:u w:val="none"/>
                <w:lang w:val="en-US"/>
              </w:rPr>
            </w:pPr>
            <w:r>
              <w:rPr>
                <w:rFonts w:hint="eastAsia" w:ascii="宋体" w:hAnsi="宋体" w:eastAsia="宋体" w:cs="宋体"/>
                <w:i w:val="0"/>
                <w:iCs w:val="0"/>
                <w:color w:val="auto"/>
                <w:kern w:val="0"/>
                <w:sz w:val="20"/>
                <w:szCs w:val="20"/>
                <w:highlight w:val="none"/>
                <w:u w:val="none"/>
                <w:lang w:val="en-US" w:eastAsia="zh-CN" w:bidi="ar"/>
              </w:rPr>
              <w:t>类款项</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科目名称</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年初预算数</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决算</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20"/>
                <w:szCs w:val="20"/>
                <w:highlight w:val="none"/>
                <w:u w:val="none"/>
                <w:lang w:val="en-US"/>
              </w:rPr>
            </w:pPr>
            <w:r>
              <w:rPr>
                <w:rFonts w:hint="eastAsia" w:ascii="宋体" w:hAnsi="宋体" w:eastAsia="宋体" w:cs="宋体"/>
                <w:i w:val="0"/>
                <w:iCs w:val="0"/>
                <w:color w:val="auto"/>
                <w:kern w:val="0"/>
                <w:sz w:val="20"/>
                <w:szCs w:val="20"/>
                <w:highlight w:val="none"/>
                <w:u w:val="none"/>
                <w:lang w:val="en-US" w:eastAsia="zh-CN" w:bidi="ar"/>
              </w:rPr>
              <w:t>完成预算百分比</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主要用于</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2101101</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行政单位医疗</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57.19</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2"/>
                <w:sz w:val="18"/>
                <w:szCs w:val="18"/>
                <w:highlight w:val="none"/>
                <w:u w:val="none"/>
                <w:lang w:val="en-US" w:eastAsia="zh-CN" w:bidi="ar-SA"/>
              </w:rPr>
              <w:t>53.40</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93.37%</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 w:hAnsi="仿宋" w:eastAsia="仿宋" w:cs="仿宋"/>
                <w:color w:val="auto"/>
                <w:sz w:val="18"/>
                <w:szCs w:val="18"/>
                <w:highlight w:val="none"/>
                <w:lang w:val="en-US" w:eastAsia="zh-CN"/>
              </w:rPr>
              <w:t>职工社会保障缴费</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 w:hAnsi="仿宋" w:eastAsia="仿宋" w:cs="仿宋"/>
                <w:color w:val="auto"/>
                <w:kern w:val="2"/>
                <w:sz w:val="18"/>
                <w:szCs w:val="18"/>
                <w:highlight w:val="none"/>
                <w:lang w:val="en-US" w:eastAsia="zh-CN" w:bidi="ar"/>
              </w:rPr>
              <w:t>人员退休缴费减少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2101103</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公务员医疗补助</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31.77</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2"/>
                <w:sz w:val="18"/>
                <w:szCs w:val="18"/>
                <w:highlight w:val="none"/>
                <w:u w:val="none"/>
                <w:lang w:val="en-US" w:eastAsia="zh-CN" w:bidi="ar-SA"/>
              </w:rPr>
              <w:t>31.77</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100.00%</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 w:hAnsi="仿宋" w:eastAsia="仿宋" w:cs="仿宋"/>
                <w:color w:val="auto"/>
                <w:sz w:val="18"/>
                <w:szCs w:val="18"/>
                <w:highlight w:val="none"/>
                <w:lang w:val="en-US" w:eastAsia="zh-CN"/>
              </w:rPr>
              <w:t>职工社会保障缴费</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 w:hAnsi="仿宋" w:eastAsia="仿宋" w:cs="仿宋"/>
                <w:color w:val="auto"/>
                <w:sz w:val="18"/>
                <w:szCs w:val="18"/>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合计数</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0"/>
                <w:szCs w:val="20"/>
                <w:highlight w:val="none"/>
                <w:u w:val="none"/>
                <w:lang w:val="en-US" w:eastAsia="zh-CN"/>
              </w:rPr>
            </w:pP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80.30</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2"/>
                <w:sz w:val="18"/>
                <w:szCs w:val="18"/>
                <w:highlight w:val="none"/>
                <w:u w:val="none"/>
                <w:lang w:val="en-US" w:eastAsia="zh-CN" w:bidi="ar-SA"/>
              </w:rPr>
              <w:t>85.17</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 w:hAnsi="仿宋" w:eastAsia="仿宋" w:cs="仿宋"/>
                <w:color w:val="auto"/>
                <w:sz w:val="18"/>
                <w:szCs w:val="18"/>
                <w:highlight w:val="none"/>
                <w:lang w:val="en-US" w:eastAsia="zh-CN"/>
              </w:rPr>
              <w:t>职工社会保障缴费</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 w:hAnsi="仿宋" w:eastAsia="仿宋" w:cs="仿宋"/>
                <w:color w:val="auto"/>
                <w:sz w:val="18"/>
                <w:szCs w:val="18"/>
                <w:highlight w:val="none"/>
                <w:lang w:val="en-US" w:eastAsia="zh-CN"/>
              </w:rPr>
              <w:t>职工社会保障缴费</w:t>
            </w:r>
          </w:p>
        </w:tc>
      </w:tr>
    </w:tbl>
    <w:p>
      <w:pPr>
        <w:jc w:val="left"/>
        <w:rPr>
          <w:rFonts w:hint="eastAsia" w:ascii="仿宋" w:hAnsi="仿宋" w:eastAsia="仿宋"/>
          <w:color w:val="auto"/>
          <w:sz w:val="32"/>
          <w:szCs w:val="32"/>
          <w:highlight w:val="none"/>
        </w:rPr>
      </w:pPr>
    </w:p>
    <w:p>
      <w:pPr>
        <w:jc w:val="center"/>
        <w:rPr>
          <w:rFonts w:ascii="仿宋" w:hAnsi="仿宋" w:eastAsia="仿宋"/>
          <w:color w:val="auto"/>
          <w:sz w:val="32"/>
          <w:szCs w:val="32"/>
          <w:highlight w:val="none"/>
        </w:rPr>
      </w:pPr>
      <w:r>
        <w:rPr>
          <w:rFonts w:hint="eastAsia" w:ascii="仿宋" w:hAnsi="仿宋" w:eastAsia="仿宋" w:cs="仿宋"/>
          <w:color w:val="auto"/>
          <w:sz w:val="32"/>
          <w:szCs w:val="32"/>
          <w:highlight w:val="none"/>
        </w:rPr>
        <w:drawing>
          <wp:inline distT="0" distB="0" distL="114300" distR="114300">
            <wp:extent cx="4474845" cy="3215640"/>
            <wp:effectExtent l="4445" t="4445" r="16510" b="5715"/>
            <wp:docPr id="10" name="图表 4" title="{{ybggysgnkm_chart}}"/>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keepNext w:val="0"/>
        <w:keepLines w:val="0"/>
        <w:widowControl w:val="0"/>
        <w:numPr>
          <w:ilvl w:val="0"/>
          <w:numId w:val="1"/>
        </w:numPr>
        <w:suppressLineNumbers w:val="0"/>
        <w:spacing w:before="0" w:beforeAutospacing="0" w:after="0" w:afterAutospacing="0"/>
        <w:ind w:left="0" w:leftChars="0" w:right="0" w:rightChars="0" w:firstLine="420" w:firstLineChars="0"/>
        <w:jc w:val="left"/>
        <w:rPr>
          <w:rFonts w:hint="eastAsia" w:eastAsia="仿宋"/>
          <w:color w:val="auto"/>
          <w:highlight w:val="none"/>
          <w:lang w:val="en-US" w:eastAsia="zh-CN"/>
        </w:rPr>
      </w:pPr>
      <w:r>
        <w:rPr>
          <w:rFonts w:hint="eastAsia" w:ascii="仿宋" w:hAnsi="仿宋" w:eastAsia="仿宋"/>
          <w:color w:val="auto"/>
          <w:sz w:val="32"/>
          <w:szCs w:val="32"/>
          <w:highlight w:val="none"/>
        </w:rPr>
        <w:t>节能环保支出</w:t>
      </w:r>
      <w:r>
        <w:rPr>
          <w:rFonts w:ascii="仿宋" w:hAnsi="仿宋" w:eastAsia="仿宋"/>
          <w:color w:val="auto"/>
          <w:sz w:val="32"/>
          <w:u w:color="auto"/>
        </w:rPr>
        <w:t>（211</w:t>
      </w:r>
      <w:r>
        <w:rPr>
          <w:rFonts w:hint="eastAsia" w:ascii="仿宋" w:hAnsi="仿宋" w:eastAsia="仿宋"/>
          <w:color w:val="auto"/>
          <w:sz w:val="32"/>
          <w:szCs w:val="32"/>
          <w:highlight w:val="none"/>
        </w:rPr>
        <w:t>类）年初预算为</w:t>
      </w:r>
      <w:r>
        <w:rPr>
          <w:rFonts w:ascii="仿宋" w:hAnsi="仿宋" w:eastAsia="仿宋"/>
          <w:color w:val="auto"/>
          <w:sz w:val="32"/>
          <w:szCs w:val="32"/>
          <w:highlight w:val="none"/>
        </w:rPr>
        <w:t>5717.52</w:t>
      </w:r>
      <w:r>
        <w:rPr>
          <w:rFonts w:hint="eastAsia" w:ascii="仿宋" w:hAnsi="仿宋" w:eastAsia="仿宋"/>
          <w:color w:val="auto"/>
          <w:sz w:val="32"/>
          <w:szCs w:val="32"/>
          <w:highlight w:val="none"/>
        </w:rPr>
        <w:t>万元，支出决算为</w:t>
      </w:r>
      <w:r>
        <w:rPr>
          <w:rFonts w:ascii="仿宋" w:hAnsi="仿宋" w:eastAsia="仿宋"/>
          <w:color w:val="auto"/>
          <w:sz w:val="32"/>
          <w:szCs w:val="32"/>
          <w:highlight w:val="none"/>
        </w:rPr>
        <w:t>7459.25</w:t>
      </w:r>
      <w:r>
        <w:rPr>
          <w:rFonts w:hint="eastAsia" w:ascii="仿宋" w:hAnsi="仿宋" w:eastAsia="仿宋"/>
          <w:color w:val="auto"/>
          <w:sz w:val="32"/>
          <w:szCs w:val="32"/>
          <w:highlight w:val="none"/>
        </w:rPr>
        <w:t>万元，完成年初预算的</w:t>
      </w:r>
      <w:r>
        <w:rPr>
          <w:rFonts w:ascii="仿宋" w:hAnsi="仿宋" w:eastAsia="仿宋"/>
          <w:color w:val="auto"/>
          <w:sz w:val="32"/>
          <w:szCs w:val="32"/>
          <w:highlight w:val="none"/>
        </w:rPr>
        <w:t>130.46%</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rPr>
        <w:t>预决算</w:t>
      </w:r>
      <w:r>
        <w:rPr>
          <w:rFonts w:hint="eastAsia" w:ascii="仿宋" w:hAnsi="仿宋" w:eastAsia="仿宋"/>
          <w:color w:val="auto"/>
          <w:sz w:val="32"/>
          <w:szCs w:val="32"/>
          <w:highlight w:val="none"/>
          <w:lang w:val="en-US" w:eastAsia="zh-CN"/>
        </w:rPr>
        <w:t>存有</w:t>
      </w:r>
      <w:r>
        <w:rPr>
          <w:rFonts w:hint="eastAsia" w:ascii="仿宋" w:hAnsi="仿宋" w:eastAsia="仿宋"/>
          <w:color w:val="auto"/>
          <w:sz w:val="32"/>
          <w:szCs w:val="32"/>
          <w:highlight w:val="none"/>
        </w:rPr>
        <w:t>差异</w:t>
      </w:r>
      <w:r>
        <w:rPr>
          <w:rFonts w:hint="eastAsia" w:ascii="仿宋" w:hAnsi="仿宋" w:eastAsia="仿宋"/>
          <w:color w:val="auto"/>
          <w:sz w:val="32"/>
          <w:szCs w:val="32"/>
          <w:highlight w:val="none"/>
          <w:lang w:val="en-US" w:eastAsia="zh-CN"/>
        </w:rPr>
        <w:t>原因是：</w:t>
      </w:r>
      <w:r>
        <w:rPr>
          <w:rFonts w:hint="eastAsia" w:ascii="仿宋" w:hAnsi="仿宋" w:eastAsia="仿宋" w:cs="仿宋"/>
          <w:color w:val="auto"/>
          <w:kern w:val="2"/>
          <w:sz w:val="32"/>
          <w:szCs w:val="32"/>
          <w:highlight w:val="none"/>
          <w:lang w:val="en-US" w:eastAsia="zh-CN" w:bidi="ar"/>
        </w:rPr>
        <w:t>人员上收增加后行政运行费增加较大。</w:t>
      </w:r>
    </w:p>
    <w:p>
      <w:pPr>
        <w:jc w:val="left"/>
        <w:rPr>
          <w:rFonts w:hint="eastAsia" w:ascii="仿宋" w:hAnsi="仿宋" w:eastAsia="仿宋"/>
          <w:color w:val="auto"/>
          <w:sz w:val="32"/>
          <w:szCs w:val="32"/>
          <w:highlight w:val="none"/>
        </w:rPr>
      </w:pPr>
      <w:r>
        <w:rPr>
          <w:rFonts w:hint="eastAsia" w:ascii="仿宋" w:hAnsi="仿宋" w:eastAsia="仿宋"/>
          <w:color w:val="auto"/>
          <w:sz w:val="32"/>
          <w:szCs w:val="32"/>
          <w:highlight w:val="none"/>
          <w:lang w:val="en-US" w:eastAsia="zh-CN"/>
        </w:rPr>
        <w:t>支出具体情况如下</w:t>
      </w:r>
      <w:r>
        <w:rPr>
          <w:rFonts w:hint="eastAsia" w:ascii="仿宋" w:hAnsi="仿宋" w:eastAsia="仿宋"/>
          <w:color w:val="auto"/>
          <w:sz w:val="32"/>
          <w:szCs w:val="32"/>
          <w:highlight w:val="none"/>
        </w:rPr>
        <w:t>：</w:t>
      </w:r>
    </w:p>
    <w:tbl>
      <w:tblPr>
        <w:tblStyle w:val="6"/>
        <w:tblW w:w="853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55"/>
        <w:gridCol w:w="1076"/>
        <w:gridCol w:w="994"/>
        <w:gridCol w:w="806"/>
        <w:gridCol w:w="1097"/>
        <w:gridCol w:w="1783"/>
        <w:gridCol w:w="18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20"/>
                <w:szCs w:val="20"/>
                <w:highlight w:val="none"/>
                <w:u w:val="none"/>
                <w:lang w:val="en-US"/>
              </w:rPr>
            </w:pPr>
            <w:r>
              <w:rPr>
                <w:rFonts w:hint="eastAsia" w:ascii="宋体" w:hAnsi="宋体" w:eastAsia="宋体" w:cs="宋体"/>
                <w:i w:val="0"/>
                <w:iCs w:val="0"/>
                <w:color w:val="auto"/>
                <w:kern w:val="0"/>
                <w:sz w:val="20"/>
                <w:szCs w:val="20"/>
                <w:highlight w:val="none"/>
                <w:u w:val="none"/>
                <w:lang w:val="en-US" w:eastAsia="zh-CN" w:bidi="ar"/>
              </w:rPr>
              <w:t>类款项</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科目名称</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年初预算数</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决算</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20"/>
                <w:szCs w:val="20"/>
                <w:highlight w:val="none"/>
                <w:u w:val="none"/>
                <w:lang w:val="en-US"/>
              </w:rPr>
            </w:pPr>
            <w:r>
              <w:rPr>
                <w:rFonts w:hint="eastAsia" w:ascii="宋体" w:hAnsi="宋体" w:eastAsia="宋体" w:cs="宋体"/>
                <w:i w:val="0"/>
                <w:iCs w:val="0"/>
                <w:color w:val="auto"/>
                <w:kern w:val="0"/>
                <w:sz w:val="20"/>
                <w:szCs w:val="20"/>
                <w:highlight w:val="none"/>
                <w:u w:val="none"/>
                <w:lang w:val="en-US" w:eastAsia="zh-CN" w:bidi="ar"/>
              </w:rPr>
              <w:t>完成预算百分比</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主要用于</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6"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2110101</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行政运行</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1003.52</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2"/>
                <w:sz w:val="18"/>
                <w:szCs w:val="18"/>
                <w:highlight w:val="none"/>
                <w:u w:val="none"/>
                <w:lang w:val="en-US" w:eastAsia="zh-CN" w:bidi="ar-SA"/>
              </w:rPr>
              <w:t>985.78</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98.23%</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 w:hAnsi="仿宋" w:eastAsia="仿宋" w:cs="仿宋"/>
                <w:color w:val="auto"/>
                <w:kern w:val="0"/>
                <w:sz w:val="21"/>
                <w:szCs w:val="21"/>
              </w:rPr>
              <w:t>在职及离退人员工资</w:t>
            </w:r>
            <w:r>
              <w:rPr>
                <w:rFonts w:hint="eastAsia" w:ascii="仿宋" w:hAnsi="仿宋" w:eastAsia="仿宋" w:cs="仿宋"/>
                <w:color w:val="auto"/>
                <w:kern w:val="0"/>
                <w:sz w:val="21"/>
                <w:szCs w:val="21"/>
                <w:lang w:val="en-US" w:eastAsia="zh-CN"/>
              </w:rPr>
              <w:t>福利</w:t>
            </w:r>
            <w:r>
              <w:rPr>
                <w:rFonts w:hint="eastAsia" w:ascii="仿宋" w:hAnsi="仿宋" w:eastAsia="仿宋" w:cs="仿宋"/>
                <w:color w:val="auto"/>
                <w:kern w:val="0"/>
                <w:sz w:val="21"/>
                <w:szCs w:val="21"/>
              </w:rPr>
              <w:t>支出</w:t>
            </w:r>
            <w:r>
              <w:rPr>
                <w:rFonts w:hint="eastAsia" w:ascii="仿宋" w:hAnsi="仿宋" w:eastAsia="仿宋" w:cs="仿宋"/>
                <w:color w:val="auto"/>
                <w:kern w:val="0"/>
                <w:sz w:val="21"/>
                <w:szCs w:val="21"/>
                <w:lang w:val="en-US" w:eastAsia="zh-CN" w:bidi="ar"/>
              </w:rPr>
              <w:t>等</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宋体" w:hAnsi="宋体" w:eastAsia="宋体" w:cs="宋体"/>
                <w:i w:val="0"/>
                <w:iCs w:val="0"/>
                <w:color w:val="auto"/>
                <w:kern w:val="2"/>
                <w:sz w:val="18"/>
                <w:szCs w:val="18"/>
                <w:highlight w:val="none"/>
                <w:u w:val="none"/>
                <w:lang w:val="en-US" w:eastAsia="zh-CN" w:bidi="ar-SA"/>
              </w:rPr>
            </w:pPr>
            <w:r>
              <w:rPr>
                <w:rFonts w:hint="eastAsia" w:ascii="仿宋" w:hAnsi="仿宋" w:eastAsia="仿宋" w:cs="仿宋"/>
                <w:color w:val="auto"/>
                <w:kern w:val="2"/>
                <w:sz w:val="21"/>
                <w:szCs w:val="21"/>
                <w:highlight w:val="none"/>
                <w:lang w:val="en-US" w:eastAsia="zh-CN" w:bidi="ar"/>
              </w:rPr>
              <w:t>人员退休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2110102</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一般行政管理事务</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52.00</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2"/>
                <w:sz w:val="18"/>
                <w:szCs w:val="18"/>
                <w:highlight w:val="none"/>
                <w:u w:val="none"/>
                <w:lang w:val="en-US" w:eastAsia="zh-CN" w:bidi="ar-SA"/>
              </w:rPr>
              <w:t>29.85</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57.40%</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 w:hAnsi="仿宋" w:eastAsia="仿宋" w:cs="仿宋"/>
                <w:color w:val="auto"/>
                <w:sz w:val="21"/>
                <w:szCs w:val="21"/>
                <w:highlight w:val="none"/>
                <w:lang w:val="en-US" w:eastAsia="zh-CN"/>
              </w:rPr>
              <w:t>办公经费和聘用人员经费</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 w:hAnsi="仿宋" w:eastAsia="仿宋" w:cs="仿宋"/>
                <w:color w:val="auto"/>
                <w:sz w:val="18"/>
                <w:szCs w:val="18"/>
                <w:highlight w:val="none"/>
                <w:lang w:val="en-US" w:eastAsia="zh-CN"/>
              </w:rPr>
              <w:t>因国库库款紧张未能完全支出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2110104</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生态环境保护宣传</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5.00</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2"/>
                <w:sz w:val="18"/>
                <w:szCs w:val="18"/>
                <w:highlight w:val="none"/>
                <w:u w:val="none"/>
                <w:lang w:val="en-US" w:eastAsia="zh-CN" w:bidi="ar-SA"/>
              </w:rPr>
              <w:t>5.00</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100.00%</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 w:hAnsi="仿宋" w:eastAsia="仿宋" w:cs="仿宋"/>
                <w:color w:val="auto"/>
                <w:sz w:val="21"/>
                <w:szCs w:val="21"/>
                <w:highlight w:val="none"/>
                <w:lang w:val="en-US" w:eastAsia="zh-CN"/>
              </w:rPr>
              <w:t>生态环境宣传教育</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 w:hAnsi="仿宋" w:eastAsia="仿宋" w:cs="仿宋"/>
                <w:color w:val="auto"/>
                <w:sz w:val="18"/>
                <w:szCs w:val="18"/>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2110199</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其他环境保护管理事务支出</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0.00</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2"/>
                <w:sz w:val="18"/>
                <w:szCs w:val="18"/>
                <w:highlight w:val="none"/>
                <w:u w:val="none"/>
                <w:lang w:val="en-US" w:eastAsia="zh-CN" w:bidi="ar-SA"/>
              </w:rPr>
              <w:t>30.00</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100.00%</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 w:hAnsi="仿宋" w:eastAsia="仿宋" w:cs="仿宋"/>
                <w:color w:val="auto"/>
                <w:sz w:val="21"/>
                <w:szCs w:val="21"/>
                <w:highlight w:val="none"/>
                <w:lang w:val="en-US" w:eastAsia="zh-CN"/>
              </w:rPr>
              <w:t>河池市“十四五”土壤污染防治先行区建设实施方案编制</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 w:hAnsi="仿宋" w:eastAsia="仿宋" w:cs="仿宋"/>
                <w:color w:val="auto"/>
                <w:sz w:val="18"/>
                <w:szCs w:val="18"/>
                <w:highlight w:val="none"/>
                <w:lang w:val="en-US" w:eastAsia="zh-CN"/>
              </w:rPr>
              <w:t>财政存量资金再安排项目，指标追加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2110204</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核与辐射安全监督</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2.00</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2"/>
                <w:sz w:val="18"/>
                <w:szCs w:val="18"/>
                <w:highlight w:val="none"/>
                <w:u w:val="none"/>
                <w:lang w:val="en-US" w:eastAsia="zh-CN" w:bidi="ar-SA"/>
              </w:rPr>
              <w:t>0.46</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23.00%</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 w:hAnsi="仿宋" w:eastAsia="仿宋" w:cs="仿宋"/>
                <w:color w:val="auto"/>
                <w:sz w:val="21"/>
                <w:szCs w:val="21"/>
                <w:highlight w:val="none"/>
                <w:lang w:val="en-US" w:eastAsia="zh-CN"/>
              </w:rPr>
              <w:t>核与辐射安全监督</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 w:hAnsi="仿宋" w:eastAsia="仿宋" w:cs="仿宋"/>
                <w:color w:val="auto"/>
                <w:sz w:val="18"/>
                <w:szCs w:val="18"/>
                <w:highlight w:val="none"/>
                <w:lang w:val="en-US" w:eastAsia="zh-CN"/>
              </w:rPr>
              <w:t>因国库库款紧张未能完全支出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2110299</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其他环境监测与监察支出</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180.00</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2"/>
                <w:sz w:val="18"/>
                <w:szCs w:val="18"/>
                <w:highlight w:val="none"/>
                <w:u w:val="none"/>
                <w:lang w:val="en-US" w:eastAsia="zh-CN" w:bidi="ar-SA"/>
              </w:rPr>
              <w:t>445.47</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247.48%</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 w:hAnsi="仿宋" w:eastAsia="仿宋" w:cs="仿宋"/>
                <w:color w:val="auto"/>
                <w:sz w:val="21"/>
                <w:szCs w:val="21"/>
                <w:highlight w:val="none"/>
                <w:lang w:val="en-US" w:eastAsia="zh-CN"/>
              </w:rPr>
              <w:t>环境监测与监察</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上级及市本级追加项目支出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2110301</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大气</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4.00</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2"/>
                <w:sz w:val="18"/>
                <w:szCs w:val="18"/>
                <w:highlight w:val="none"/>
                <w:u w:val="none"/>
                <w:lang w:val="en-US" w:eastAsia="zh-CN" w:bidi="ar-SA"/>
              </w:rPr>
              <w:t>224.70</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5617.50%</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i w:val="0"/>
                <w:iCs w:val="0"/>
                <w:color w:val="auto"/>
                <w:sz w:val="18"/>
                <w:szCs w:val="18"/>
                <w:highlight w:val="none"/>
                <w:u w:val="none"/>
                <w:lang w:val="en-US" w:eastAsia="zh-CN"/>
              </w:rPr>
            </w:pPr>
            <w:r>
              <w:rPr>
                <w:rFonts w:hint="eastAsia" w:ascii="仿宋" w:hAnsi="仿宋" w:eastAsia="仿宋" w:cs="仿宋"/>
                <w:color w:val="auto"/>
                <w:sz w:val="21"/>
                <w:szCs w:val="21"/>
                <w:highlight w:val="none"/>
                <w:lang w:val="en-US" w:eastAsia="zh-CN"/>
              </w:rPr>
              <w:t>大气污染防治与节能减排</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上级及市本级追加项目支出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2110302</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水体</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0.00</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2"/>
                <w:sz w:val="18"/>
                <w:szCs w:val="18"/>
                <w:highlight w:val="none"/>
                <w:u w:val="none"/>
                <w:lang w:val="en-US" w:eastAsia="zh-CN" w:bidi="ar-SA"/>
              </w:rPr>
              <w:t>1069.71</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100.00%</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 w:hAnsi="仿宋" w:eastAsia="仿宋" w:cs="仿宋"/>
                <w:color w:val="auto"/>
                <w:sz w:val="21"/>
                <w:szCs w:val="21"/>
                <w:highlight w:val="none"/>
                <w:lang w:val="en-US" w:eastAsia="zh-CN"/>
              </w:rPr>
              <w:t>水污染防治</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上级及市本级追加项目支出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2110307</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土壤</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0.00</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2"/>
                <w:sz w:val="18"/>
                <w:szCs w:val="18"/>
                <w:highlight w:val="none"/>
                <w:u w:val="none"/>
                <w:lang w:val="en-US" w:eastAsia="zh-CN" w:bidi="ar-SA"/>
              </w:rPr>
              <w:t>903.45</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100.00%</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 w:hAnsi="仿宋" w:eastAsia="仿宋" w:cs="仿宋"/>
                <w:color w:val="auto"/>
                <w:sz w:val="21"/>
                <w:szCs w:val="21"/>
                <w:highlight w:val="none"/>
                <w:lang w:val="en-US" w:eastAsia="zh-CN"/>
              </w:rPr>
              <w:t>土壤污染防治</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上级及市本级追加项目支出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2110399</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其他污染防治支出</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0.00</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2"/>
                <w:sz w:val="18"/>
                <w:szCs w:val="18"/>
                <w:highlight w:val="none"/>
                <w:u w:val="none"/>
                <w:lang w:val="en-US" w:eastAsia="zh-CN" w:bidi="ar-SA"/>
              </w:rPr>
              <w:t>125.73</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100.00%</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 w:hAnsi="仿宋" w:eastAsia="仿宋" w:cs="仿宋"/>
                <w:color w:val="auto"/>
                <w:sz w:val="21"/>
                <w:szCs w:val="21"/>
                <w:highlight w:val="none"/>
                <w:lang w:val="en-US" w:eastAsia="zh-CN"/>
              </w:rPr>
              <w:t>上级专项防治</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上级及市本级追加项目支出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2111101</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生态环境监测与信息</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5.00</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2"/>
                <w:sz w:val="18"/>
                <w:szCs w:val="18"/>
                <w:highlight w:val="none"/>
                <w:u w:val="none"/>
                <w:lang w:val="en-US" w:eastAsia="zh-CN" w:bidi="ar-SA"/>
              </w:rPr>
              <w:t>4.93</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98.60%</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 w:hAnsi="仿宋" w:eastAsia="仿宋" w:cs="仿宋"/>
                <w:color w:val="auto"/>
                <w:sz w:val="21"/>
                <w:szCs w:val="21"/>
                <w:highlight w:val="none"/>
                <w:lang w:val="en-US" w:eastAsia="zh-CN"/>
              </w:rPr>
              <w:t>监测系统运维费</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 w:hAnsi="仿宋" w:eastAsia="仿宋" w:cs="仿宋"/>
                <w:color w:val="auto"/>
                <w:sz w:val="18"/>
                <w:szCs w:val="18"/>
                <w:highlight w:val="none"/>
                <w:lang w:val="en-US" w:eastAsia="zh-CN"/>
              </w:rPr>
              <w:t>因国库库款紧张未能完全支出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2111102</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生态环境执法监察</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23.00</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2"/>
                <w:sz w:val="18"/>
                <w:szCs w:val="18"/>
                <w:highlight w:val="none"/>
                <w:u w:val="none"/>
                <w:lang w:val="en-US" w:eastAsia="zh-CN" w:bidi="ar-SA"/>
              </w:rPr>
              <w:t>11.34</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49.30%</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 w:hAnsi="仿宋" w:eastAsia="仿宋" w:cs="仿宋"/>
                <w:color w:val="auto"/>
                <w:sz w:val="21"/>
                <w:szCs w:val="21"/>
                <w:highlight w:val="none"/>
                <w:lang w:val="en-US" w:eastAsia="zh-CN"/>
              </w:rPr>
              <w:t>执法监察</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上级及市本级追加项目支出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2111199</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其他污染减排支出</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4433.00</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2"/>
                <w:sz w:val="18"/>
                <w:szCs w:val="18"/>
                <w:highlight w:val="none"/>
                <w:u w:val="none"/>
                <w:lang w:val="en-US" w:eastAsia="zh-CN" w:bidi="ar-SA"/>
              </w:rPr>
              <w:t>3618.96</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81.64%</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 w:hAnsi="仿宋" w:eastAsia="仿宋" w:cs="仿宋"/>
                <w:color w:val="auto"/>
                <w:sz w:val="21"/>
                <w:szCs w:val="21"/>
                <w:highlight w:val="none"/>
                <w:lang w:val="en-US" w:eastAsia="zh-CN"/>
              </w:rPr>
              <w:t>人员及设备运行费</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 w:hAnsi="仿宋" w:eastAsia="仿宋" w:cs="仿宋"/>
                <w:color w:val="auto"/>
                <w:sz w:val="18"/>
                <w:szCs w:val="18"/>
                <w:highlight w:val="none"/>
                <w:lang w:val="en-US" w:eastAsia="zh-CN"/>
              </w:rPr>
              <w:t>上年结转资金项目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2119999</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其他节能环保支出</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10.00</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2"/>
                <w:sz w:val="18"/>
                <w:szCs w:val="18"/>
                <w:highlight w:val="none"/>
                <w:u w:val="none"/>
                <w:lang w:val="en-US" w:eastAsia="zh-CN" w:bidi="ar-SA"/>
              </w:rPr>
              <w:t>3.85</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38.50%</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 w:hAnsi="仿宋" w:eastAsia="仿宋" w:cs="仿宋"/>
                <w:color w:val="auto"/>
                <w:sz w:val="21"/>
                <w:szCs w:val="21"/>
                <w:highlight w:val="none"/>
                <w:lang w:val="en-US" w:eastAsia="zh-CN"/>
              </w:rPr>
              <w:t>乡村振兴生态专责小组经费</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 w:hAnsi="仿宋" w:eastAsia="仿宋" w:cs="仿宋"/>
                <w:color w:val="auto"/>
                <w:sz w:val="18"/>
                <w:szCs w:val="18"/>
                <w:highlight w:val="none"/>
                <w:lang w:val="en-US" w:eastAsia="zh-CN"/>
              </w:rPr>
              <w:t>因国库库款紧张未能完全支出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合计数</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0"/>
                <w:szCs w:val="20"/>
                <w:highlight w:val="none"/>
                <w:u w:val="none"/>
                <w:lang w:val="en-US" w:eastAsia="zh-CN"/>
              </w:rPr>
            </w:pP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1276.18</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2"/>
                <w:sz w:val="18"/>
                <w:szCs w:val="18"/>
                <w:highlight w:val="none"/>
                <w:u w:val="none"/>
                <w:lang w:val="en-US" w:eastAsia="zh-CN" w:bidi="ar-SA"/>
              </w:rPr>
              <w:t>7459.25</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 w:hAnsi="仿宋" w:eastAsia="仿宋" w:cs="仿宋"/>
                <w:color w:val="auto"/>
                <w:sz w:val="21"/>
                <w:szCs w:val="21"/>
                <w:highlight w:val="none"/>
                <w:lang w:val="en-US" w:eastAsia="zh-CN"/>
              </w:rPr>
              <w:t>人员及设备运行费</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 w:hAnsi="仿宋" w:eastAsia="仿宋" w:cs="仿宋"/>
                <w:color w:val="auto"/>
                <w:sz w:val="18"/>
                <w:szCs w:val="18"/>
                <w:highlight w:val="none"/>
                <w:lang w:val="en-US" w:eastAsia="zh-CN"/>
              </w:rPr>
              <w:t>落实以收定支、专款专用</w:t>
            </w:r>
          </w:p>
        </w:tc>
      </w:tr>
    </w:tbl>
    <w:p>
      <w:pPr>
        <w:jc w:val="left"/>
        <w:rPr>
          <w:rFonts w:hint="eastAsia" w:ascii="仿宋" w:hAnsi="仿宋" w:eastAsia="仿宋"/>
          <w:color w:val="auto"/>
          <w:sz w:val="32"/>
          <w:szCs w:val="32"/>
          <w:highlight w:val="none"/>
        </w:rPr>
      </w:pPr>
    </w:p>
    <w:p>
      <w:pPr>
        <w:jc w:val="center"/>
        <w:rPr>
          <w:rFonts w:ascii="仿宋" w:hAnsi="仿宋" w:eastAsia="仿宋"/>
          <w:color w:val="auto"/>
          <w:sz w:val="32"/>
          <w:szCs w:val="32"/>
          <w:highlight w:val="none"/>
        </w:rPr>
      </w:pPr>
      <w:r>
        <w:rPr>
          <w:rFonts w:hint="eastAsia" w:ascii="仿宋" w:hAnsi="仿宋" w:eastAsia="仿宋" w:cs="仿宋"/>
          <w:color w:val="auto"/>
          <w:sz w:val="32"/>
          <w:szCs w:val="32"/>
          <w:highlight w:val="none"/>
        </w:rPr>
        <w:drawing>
          <wp:inline distT="0" distB="0" distL="114300" distR="114300">
            <wp:extent cx="4474845" cy="3215640"/>
            <wp:effectExtent l="4445" t="4445" r="16510" b="5715"/>
            <wp:docPr id="12" name="图表 4" title="{{ybggysgnkm_chart}}"/>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keepNext w:val="0"/>
        <w:keepLines w:val="0"/>
        <w:widowControl w:val="0"/>
        <w:numPr>
          <w:ilvl w:val="0"/>
          <w:numId w:val="1"/>
        </w:numPr>
        <w:suppressLineNumbers w:val="0"/>
        <w:spacing w:before="0" w:beforeAutospacing="0" w:after="0" w:afterAutospacing="0"/>
        <w:ind w:left="0" w:leftChars="0" w:right="0" w:rightChars="0" w:firstLine="420" w:firstLineChars="0"/>
        <w:jc w:val="left"/>
        <w:rPr>
          <w:rFonts w:hint="eastAsia" w:eastAsia="仿宋"/>
          <w:color w:val="auto"/>
          <w:highlight w:val="none"/>
          <w:lang w:val="en-US" w:eastAsia="zh-CN"/>
        </w:rPr>
      </w:pPr>
      <w:r>
        <w:rPr>
          <w:rFonts w:hint="eastAsia" w:ascii="仿宋" w:hAnsi="仿宋" w:eastAsia="仿宋"/>
          <w:color w:val="auto"/>
          <w:sz w:val="32"/>
          <w:szCs w:val="32"/>
          <w:highlight w:val="none"/>
        </w:rPr>
        <w:t>住房保障支出</w:t>
      </w:r>
      <w:r>
        <w:rPr>
          <w:rFonts w:ascii="仿宋" w:hAnsi="仿宋" w:eastAsia="仿宋"/>
          <w:color w:val="auto"/>
          <w:sz w:val="32"/>
          <w:u w:color="auto"/>
        </w:rPr>
        <w:t>（221</w:t>
      </w:r>
      <w:r>
        <w:rPr>
          <w:rFonts w:hint="eastAsia" w:ascii="仿宋" w:hAnsi="仿宋" w:eastAsia="仿宋"/>
          <w:color w:val="auto"/>
          <w:sz w:val="32"/>
          <w:szCs w:val="32"/>
          <w:highlight w:val="none"/>
        </w:rPr>
        <w:t>类）年初预算为</w:t>
      </w:r>
      <w:r>
        <w:rPr>
          <w:rFonts w:ascii="仿宋" w:hAnsi="仿宋" w:eastAsia="仿宋"/>
          <w:color w:val="auto"/>
          <w:sz w:val="32"/>
          <w:szCs w:val="32"/>
          <w:highlight w:val="none"/>
        </w:rPr>
        <w:t>95.30</w:t>
      </w:r>
      <w:r>
        <w:rPr>
          <w:rFonts w:hint="eastAsia" w:ascii="仿宋" w:hAnsi="仿宋" w:eastAsia="仿宋"/>
          <w:color w:val="auto"/>
          <w:sz w:val="32"/>
          <w:szCs w:val="32"/>
          <w:highlight w:val="none"/>
        </w:rPr>
        <w:t>万元，支出决算为</w:t>
      </w:r>
      <w:r>
        <w:rPr>
          <w:rFonts w:ascii="仿宋" w:hAnsi="仿宋" w:eastAsia="仿宋"/>
          <w:color w:val="auto"/>
          <w:sz w:val="32"/>
          <w:szCs w:val="32"/>
          <w:highlight w:val="none"/>
        </w:rPr>
        <w:t>95.30</w:t>
      </w:r>
      <w:r>
        <w:rPr>
          <w:rFonts w:hint="eastAsia" w:ascii="仿宋" w:hAnsi="仿宋" w:eastAsia="仿宋"/>
          <w:color w:val="auto"/>
          <w:sz w:val="32"/>
          <w:szCs w:val="32"/>
          <w:highlight w:val="none"/>
        </w:rPr>
        <w:t>万元，完成年初预算的</w:t>
      </w:r>
      <w:r>
        <w:rPr>
          <w:rFonts w:ascii="仿宋" w:hAnsi="仿宋" w:eastAsia="仿宋"/>
          <w:color w:val="auto"/>
          <w:sz w:val="32"/>
          <w:szCs w:val="32"/>
          <w:highlight w:val="none"/>
        </w:rPr>
        <w:t>100.00%</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rPr>
        <w:t>预决算</w:t>
      </w:r>
      <w:r>
        <w:rPr>
          <w:rFonts w:hint="eastAsia" w:ascii="仿宋" w:hAnsi="仿宋" w:eastAsia="仿宋"/>
          <w:color w:val="auto"/>
          <w:sz w:val="32"/>
          <w:szCs w:val="32"/>
          <w:highlight w:val="none"/>
          <w:lang w:val="en-US" w:eastAsia="zh-CN"/>
        </w:rPr>
        <w:t>存无</w:t>
      </w:r>
      <w:r>
        <w:rPr>
          <w:rFonts w:hint="eastAsia" w:ascii="仿宋" w:hAnsi="仿宋" w:eastAsia="仿宋"/>
          <w:color w:val="auto"/>
          <w:sz w:val="32"/>
          <w:szCs w:val="32"/>
          <w:highlight w:val="none"/>
        </w:rPr>
        <w:t>差异</w:t>
      </w:r>
      <w:r>
        <w:rPr>
          <w:rFonts w:hint="eastAsia" w:ascii="仿宋" w:hAnsi="仿宋" w:eastAsia="仿宋" w:cs="仿宋"/>
          <w:color w:val="auto"/>
          <w:kern w:val="2"/>
          <w:sz w:val="32"/>
          <w:szCs w:val="32"/>
          <w:highlight w:val="none"/>
          <w:lang w:val="en-US" w:eastAsia="zh-CN" w:bidi="ar"/>
        </w:rPr>
        <w:t>。</w:t>
      </w:r>
    </w:p>
    <w:p>
      <w:pPr>
        <w:jc w:val="left"/>
        <w:rPr>
          <w:rFonts w:hint="eastAsia" w:ascii="仿宋" w:hAnsi="仿宋" w:eastAsia="仿宋"/>
          <w:color w:val="auto"/>
          <w:sz w:val="32"/>
          <w:szCs w:val="32"/>
          <w:highlight w:val="none"/>
        </w:rPr>
      </w:pPr>
      <w:r>
        <w:rPr>
          <w:rFonts w:hint="eastAsia" w:ascii="仿宋" w:hAnsi="仿宋" w:eastAsia="仿宋"/>
          <w:color w:val="auto"/>
          <w:sz w:val="32"/>
          <w:szCs w:val="32"/>
          <w:highlight w:val="none"/>
          <w:lang w:val="en-US" w:eastAsia="zh-CN"/>
        </w:rPr>
        <w:t>支出具体情况如下</w:t>
      </w:r>
      <w:r>
        <w:rPr>
          <w:rFonts w:hint="eastAsia" w:ascii="仿宋" w:hAnsi="仿宋" w:eastAsia="仿宋"/>
          <w:color w:val="auto"/>
          <w:sz w:val="32"/>
          <w:szCs w:val="32"/>
          <w:highlight w:val="none"/>
        </w:rPr>
        <w:t>：</w:t>
      </w:r>
    </w:p>
    <w:tbl>
      <w:tblPr>
        <w:tblStyle w:val="6"/>
        <w:tblW w:w="853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55"/>
        <w:gridCol w:w="1076"/>
        <w:gridCol w:w="994"/>
        <w:gridCol w:w="806"/>
        <w:gridCol w:w="1097"/>
        <w:gridCol w:w="1783"/>
        <w:gridCol w:w="18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20"/>
                <w:szCs w:val="20"/>
                <w:highlight w:val="none"/>
                <w:u w:val="none"/>
                <w:lang w:val="en-US"/>
              </w:rPr>
            </w:pPr>
            <w:r>
              <w:rPr>
                <w:rFonts w:hint="eastAsia" w:ascii="宋体" w:hAnsi="宋体" w:eastAsia="宋体" w:cs="宋体"/>
                <w:i w:val="0"/>
                <w:iCs w:val="0"/>
                <w:color w:val="auto"/>
                <w:kern w:val="0"/>
                <w:sz w:val="20"/>
                <w:szCs w:val="20"/>
                <w:highlight w:val="none"/>
                <w:u w:val="none"/>
                <w:lang w:val="en-US" w:eastAsia="zh-CN" w:bidi="ar"/>
              </w:rPr>
              <w:t>类款项</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科目名称</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年初预算数</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决算</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20"/>
                <w:szCs w:val="20"/>
                <w:highlight w:val="none"/>
                <w:u w:val="none"/>
                <w:lang w:val="en-US"/>
              </w:rPr>
            </w:pPr>
            <w:r>
              <w:rPr>
                <w:rFonts w:hint="eastAsia" w:ascii="宋体" w:hAnsi="宋体" w:eastAsia="宋体" w:cs="宋体"/>
                <w:i w:val="0"/>
                <w:iCs w:val="0"/>
                <w:color w:val="auto"/>
                <w:kern w:val="0"/>
                <w:sz w:val="20"/>
                <w:szCs w:val="20"/>
                <w:highlight w:val="none"/>
                <w:u w:val="none"/>
                <w:lang w:val="en-US" w:eastAsia="zh-CN" w:bidi="ar"/>
              </w:rPr>
              <w:t>完成预算百分比</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主要用于</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2210201</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住房公积金</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95.30</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2"/>
                <w:sz w:val="18"/>
                <w:szCs w:val="18"/>
                <w:highlight w:val="none"/>
                <w:u w:val="none"/>
                <w:lang w:val="en-US" w:eastAsia="zh-CN" w:bidi="ar-SA"/>
              </w:rPr>
              <w:t>95.30</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100.00%</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_GB2312" w:hAnsi="宋体" w:eastAsia="仿宋_GB2312" w:cs="宋体"/>
                <w:color w:val="auto"/>
                <w:kern w:val="0"/>
                <w:sz w:val="18"/>
                <w:szCs w:val="18"/>
              </w:rPr>
              <w:t>按照国家政策规定向职工发放的住房公积金</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 w:hAnsi="仿宋" w:eastAsia="仿宋" w:cs="仿宋"/>
                <w:color w:val="auto"/>
                <w:sz w:val="18"/>
                <w:szCs w:val="18"/>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合计数</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0"/>
                <w:szCs w:val="20"/>
                <w:highlight w:val="none"/>
                <w:u w:val="none"/>
                <w:lang w:val="en-US" w:eastAsia="zh-CN"/>
              </w:rPr>
            </w:pP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95.30</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2"/>
                <w:sz w:val="18"/>
                <w:szCs w:val="18"/>
                <w:highlight w:val="none"/>
                <w:u w:val="none"/>
                <w:lang w:val="en-US" w:eastAsia="zh-CN" w:bidi="ar-SA"/>
              </w:rPr>
              <w:t>95.30</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_GB2312" w:hAnsi="宋体" w:eastAsia="仿宋_GB2312" w:cs="宋体"/>
                <w:color w:val="auto"/>
                <w:kern w:val="0"/>
                <w:sz w:val="18"/>
                <w:szCs w:val="18"/>
              </w:rPr>
              <w:t>按照国家政策规定向职工发放的住房公积金</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仿宋_GB2312" w:hAnsi="宋体" w:eastAsia="仿宋_GB2312" w:cs="宋体"/>
                <w:color w:val="auto"/>
                <w:kern w:val="0"/>
                <w:sz w:val="18"/>
                <w:szCs w:val="18"/>
              </w:rPr>
              <w:t>按照国家政策规定向职工发放的住房公积金</w:t>
            </w:r>
          </w:p>
        </w:tc>
      </w:tr>
    </w:tbl>
    <w:p>
      <w:pPr>
        <w:jc w:val="left"/>
        <w:rPr>
          <w:rFonts w:hint="eastAsia" w:ascii="仿宋" w:hAnsi="仿宋" w:eastAsia="仿宋"/>
          <w:color w:val="auto"/>
          <w:sz w:val="32"/>
          <w:szCs w:val="32"/>
          <w:highlight w:val="none"/>
        </w:rPr>
      </w:pPr>
    </w:p>
    <w:p>
      <w:pPr>
        <w:jc w:val="center"/>
        <w:rPr>
          <w:rFonts w:ascii="仿宋" w:hAnsi="仿宋" w:eastAsia="仿宋"/>
          <w:color w:val="auto"/>
          <w:sz w:val="32"/>
          <w:szCs w:val="32"/>
          <w:highlight w:val="none"/>
        </w:rPr>
      </w:pPr>
      <w:r>
        <w:rPr>
          <w:rFonts w:hint="eastAsia" w:ascii="仿宋" w:hAnsi="仿宋" w:eastAsia="仿宋" w:cs="仿宋"/>
          <w:color w:val="auto"/>
          <w:sz w:val="32"/>
          <w:szCs w:val="32"/>
          <w:highlight w:val="none"/>
        </w:rPr>
        <w:drawing>
          <wp:inline distT="0" distB="0" distL="114300" distR="114300">
            <wp:extent cx="4474845" cy="3215640"/>
            <wp:effectExtent l="4445" t="4445" r="16510" b="5715"/>
            <wp:docPr id="14" name="图表 4" title="{{ybggysgnkm_chart}}"/>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jc w:val="left"/>
        <w:rPr>
          <w:rFonts w:ascii="仿宋" w:hAnsi="仿宋" w:eastAsia="仿宋" w:cs="仿宋"/>
          <w:color w:val="auto"/>
          <w:sz w:val="32"/>
          <w:szCs w:val="32"/>
          <w:highlight w:val="none"/>
        </w:rPr>
      </w:pPr>
      <w:r>
        <w:rPr>
          <w:rFonts w:hint="eastAsia" w:ascii="黑体" w:hAnsi="黑体" w:eastAsia="黑体" w:cs="黑体"/>
          <w:color w:val="auto"/>
          <w:sz w:val="32"/>
          <w:szCs w:val="32"/>
          <w:highlight w:val="none"/>
        </w:rPr>
        <w:t>三、2022年度一般公共预算财政拨款基本支出决算情况说明</w:t>
      </w:r>
    </w:p>
    <w:p>
      <w:pPr>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河池市生态环境局2022年度一般公共预算财政拨款基本支出</w:t>
      </w:r>
      <w:r>
        <w:rPr>
          <w:rFonts w:ascii="仿宋" w:hAnsi="仿宋" w:eastAsia="仿宋" w:cs="仿宋"/>
          <w:color w:val="auto"/>
          <w:sz w:val="32"/>
          <w:u w:color="auto"/>
        </w:rPr>
        <w:t>1296.36</w:t>
      </w:r>
      <w:r>
        <w:rPr>
          <w:rFonts w:hint="eastAsia" w:ascii="仿宋" w:hAnsi="仿宋" w:eastAsia="仿宋" w:cs="仿宋"/>
          <w:color w:val="auto"/>
          <w:sz w:val="32"/>
          <w:szCs w:val="32"/>
          <w:highlight w:val="none"/>
        </w:rPr>
        <w:t>万元，</w:t>
      </w:r>
      <w:r>
        <w:rPr>
          <w:rFonts w:hint="default" w:ascii="仿宋_GB2312" w:hAnsi="微软雅黑" w:eastAsia="仿宋_GB2312" w:cs="仿宋_GB2312"/>
          <w:i w:val="0"/>
          <w:iCs w:val="0"/>
          <w:caps w:val="0"/>
          <w:color w:val="auto"/>
          <w:spacing w:val="0"/>
          <w:sz w:val="31"/>
          <w:szCs w:val="31"/>
          <w:highlight w:val="none"/>
          <w:shd w:val="clear" w:color="auto" w:fill="FFFFFF"/>
        </w:rPr>
        <w:t>其中：人员经费支出</w:t>
      </w:r>
      <w:r>
        <w:rPr>
          <w:rFonts w:hint="eastAsia" w:ascii="仿宋" w:hAnsi="仿宋" w:eastAsia="仿宋" w:cs="仿宋"/>
          <w:color w:val="auto"/>
          <w:sz w:val="32"/>
          <w:szCs w:val="32"/>
          <w:highlight w:val="none"/>
        </w:rPr>
        <w:t>1181.30</w:t>
      </w:r>
      <w:r>
        <w:rPr>
          <w:rFonts w:hint="default" w:ascii="仿宋_GB2312" w:hAnsi="微软雅黑" w:eastAsia="仿宋_GB2312" w:cs="仿宋_GB2312"/>
          <w:i w:val="0"/>
          <w:iCs w:val="0"/>
          <w:caps w:val="0"/>
          <w:color w:val="auto"/>
          <w:spacing w:val="0"/>
          <w:sz w:val="31"/>
          <w:szCs w:val="31"/>
          <w:highlight w:val="none"/>
          <w:shd w:val="clear" w:color="auto" w:fill="FFFFFF"/>
        </w:rPr>
        <w:t>万元，公用经费支出</w:t>
      </w:r>
      <w:r>
        <w:rPr>
          <w:rFonts w:hint="eastAsia" w:ascii="仿宋" w:hAnsi="仿宋" w:eastAsia="仿宋" w:cs="仿宋"/>
          <w:color w:val="auto"/>
          <w:sz w:val="32"/>
          <w:szCs w:val="32"/>
          <w:highlight w:val="none"/>
        </w:rPr>
        <w:t>115.06</w:t>
      </w:r>
      <w:r>
        <w:rPr>
          <w:rFonts w:hint="default" w:ascii="仿宋_GB2312" w:hAnsi="微软雅黑" w:eastAsia="仿宋_GB2312" w:cs="仿宋_GB2312"/>
          <w:i w:val="0"/>
          <w:iCs w:val="0"/>
          <w:caps w:val="0"/>
          <w:color w:val="auto"/>
          <w:spacing w:val="0"/>
          <w:sz w:val="31"/>
          <w:szCs w:val="31"/>
          <w:highlight w:val="none"/>
          <w:shd w:val="clear" w:color="auto" w:fill="FFFFFF"/>
        </w:rPr>
        <w:t>万元，</w:t>
      </w:r>
      <w:r>
        <w:rPr>
          <w:rFonts w:hint="eastAsia" w:ascii="仿宋" w:hAnsi="仿宋" w:eastAsia="仿宋" w:cs="仿宋"/>
          <w:color w:val="auto"/>
          <w:sz w:val="32"/>
          <w:szCs w:val="32"/>
          <w:highlight w:val="none"/>
        </w:rPr>
        <w:t>支出具体情况如下：</w:t>
      </w:r>
    </w:p>
    <w:p>
      <w:pPr>
        <w:keepNext w:val="0"/>
        <w:keepLines w:val="0"/>
        <w:widowControl w:val="0"/>
        <w:numPr>
          <w:ilvl w:val="0"/>
          <w:numId w:val="2"/>
        </w:numPr>
        <w:suppressLineNumbers w:val="0"/>
        <w:spacing w:before="0" w:beforeAutospacing="0" w:after="0" w:afterAutospacing="0"/>
        <w:ind w:left="0" w:leftChars="0" w:right="0" w:firstLine="420" w:firstLineChars="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工资福利支出</w:t>
      </w:r>
      <w:r>
        <w:rPr>
          <w:rFonts w:ascii="仿宋" w:hAnsi="仿宋" w:eastAsia="仿宋" w:cs="仿宋"/>
          <w:color w:val="auto"/>
          <w:sz w:val="32"/>
          <w:u w:color="auto"/>
        </w:rPr>
        <w:t>1165.28万元，</w:t>
      </w:r>
      <w:r>
        <w:rPr>
          <w:rFonts w:hint="default" w:ascii="仿宋_GB2312" w:hAnsi="微软雅黑" w:eastAsia="仿宋_GB2312" w:cs="仿宋_GB2312"/>
          <w:i w:val="0"/>
          <w:iCs w:val="0"/>
          <w:caps w:val="0"/>
          <w:color w:val="auto"/>
          <w:spacing w:val="0"/>
          <w:sz w:val="31"/>
          <w:szCs w:val="31"/>
          <w:highlight w:val="none"/>
          <w:shd w:val="clear" w:color="auto" w:fill="FFFFFF"/>
        </w:rPr>
        <w:t>完成年初预算的</w:t>
      </w:r>
      <w:r>
        <w:rPr>
          <w:rFonts w:hint="eastAsia" w:ascii="仿宋" w:hAnsi="仿宋" w:eastAsia="仿宋" w:cs="仿宋"/>
          <w:color w:val="auto"/>
          <w:sz w:val="32"/>
          <w:szCs w:val="32"/>
          <w:highlight w:val="none"/>
        </w:rPr>
        <w:t>103.96%</w:t>
      </w:r>
      <w:r>
        <w:rPr>
          <w:rFonts w:hint="default" w:ascii="仿宋_GB2312" w:hAnsi="微软雅黑" w:eastAsia="仿宋_GB2312" w:cs="仿宋_GB2312"/>
          <w:i w:val="0"/>
          <w:iCs w:val="0"/>
          <w:caps w:val="0"/>
          <w:color w:val="auto"/>
          <w:spacing w:val="0"/>
          <w:sz w:val="31"/>
          <w:szCs w:val="31"/>
          <w:highlight w:val="none"/>
          <w:shd w:val="clear" w:color="auto" w:fill="FFFFFF"/>
        </w:rPr>
        <w:t>，</w:t>
      </w:r>
      <w:r>
        <w:rPr>
          <w:rFonts w:hint="eastAsia" w:ascii="仿宋" w:hAnsi="仿宋" w:eastAsia="仿宋" w:cs="仿宋"/>
          <w:color w:val="auto"/>
          <w:sz w:val="32"/>
          <w:szCs w:val="32"/>
          <w:highlight w:val="none"/>
        </w:rPr>
        <w:t>（简要说明预决算差异）</w:t>
      </w:r>
      <w:r>
        <w:rPr>
          <w:rFonts w:hint="eastAsia" w:ascii="仿宋" w:hAnsi="仿宋" w:eastAsia="仿宋" w:cs="仿宋"/>
          <w:color w:val="auto"/>
          <w:kern w:val="2"/>
          <w:sz w:val="32"/>
          <w:szCs w:val="32"/>
          <w:highlight w:val="none"/>
          <w:lang w:val="en-US" w:eastAsia="zh-CN" w:bidi="ar"/>
        </w:rPr>
        <w:t>主要原因是：公务员及事业编制内人员招考录用后该费用增加。</w:t>
      </w:r>
    </w:p>
    <w:p>
      <w:pPr>
        <w:jc w:val="left"/>
        <w:rPr>
          <w:rFonts w:hint="default" w:ascii="仿宋" w:hAnsi="仿宋" w:eastAsia="仿宋" w:cs="仿宋"/>
          <w:color w:val="auto"/>
          <w:sz w:val="32"/>
          <w:szCs w:val="32"/>
          <w:highlight w:val="none"/>
          <w:lang w:val="en-US" w:eastAsia="zh-CN"/>
        </w:rPr>
      </w:pPr>
      <w:r>
        <w:rPr>
          <w:rFonts w:hint="eastAsia" w:ascii="仿宋" w:hAnsi="仿宋" w:eastAsia="仿宋"/>
          <w:color w:val="auto"/>
          <w:sz w:val="32"/>
          <w:szCs w:val="32"/>
          <w:highlight w:val="none"/>
          <w:lang w:val="en-US" w:eastAsia="zh-CN"/>
        </w:rPr>
        <w:t>支出具体情况如下</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30101基本工资289.20万元，30102津贴补贴260.75万元，30103奖金254.42万元，30106伙食补助费31.54万元，30107绩效工资13.57万元，30108机关事业单位基本养老保险缴费127.07万元，30110职工基本医疗保险缴费50.62万元，30111公务员医疗补助缴费39.37万元，30112其他社会保障缴费3.28万元，30113住房公积金95.30万元，30199其他工资福利支出0.16万元。</w:t>
      </w:r>
    </w:p>
    <w:p>
      <w:pPr>
        <w:jc w:val="cente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drawing>
          <wp:inline distT="0" distB="0" distL="114300" distR="114300">
            <wp:extent cx="4474845" cy="3215640"/>
            <wp:effectExtent l="4445" t="4445" r="16510" b="18415"/>
            <wp:docPr id="16" name="图表 1" title="{{test_sections_chart}}"/>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jc w:val="both"/>
        <w:rPr>
          <w:rFonts w:hint="eastAsia" w:ascii="仿宋" w:hAnsi="仿宋" w:eastAsia="仿宋" w:cs="仿宋"/>
          <w:color w:val="auto"/>
          <w:sz w:val="32"/>
          <w:szCs w:val="32"/>
          <w:highlight w:val="none"/>
        </w:rPr>
      </w:pPr>
    </w:p>
    <w:p>
      <w:pPr>
        <w:keepNext w:val="0"/>
        <w:keepLines w:val="0"/>
        <w:widowControl w:val="0"/>
        <w:numPr>
          <w:ilvl w:val="0"/>
          <w:numId w:val="2"/>
        </w:numPr>
        <w:suppressLineNumbers w:val="0"/>
        <w:spacing w:before="0" w:beforeAutospacing="0" w:after="0" w:afterAutospacing="0"/>
        <w:ind w:left="0" w:leftChars="0" w:right="0" w:firstLine="420" w:firstLineChars="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商品和服务支出</w:t>
      </w:r>
      <w:r>
        <w:rPr>
          <w:rFonts w:ascii="仿宋" w:hAnsi="仿宋" w:eastAsia="仿宋" w:cs="仿宋"/>
          <w:color w:val="auto"/>
          <w:sz w:val="32"/>
          <w:u w:color="auto"/>
        </w:rPr>
        <w:t>115.06万元，</w:t>
      </w:r>
      <w:r>
        <w:rPr>
          <w:rFonts w:hint="default" w:ascii="仿宋_GB2312" w:hAnsi="微软雅黑" w:eastAsia="仿宋_GB2312" w:cs="仿宋_GB2312"/>
          <w:i w:val="0"/>
          <w:iCs w:val="0"/>
          <w:caps w:val="0"/>
          <w:color w:val="auto"/>
          <w:spacing w:val="0"/>
          <w:sz w:val="31"/>
          <w:szCs w:val="31"/>
          <w:highlight w:val="none"/>
          <w:shd w:val="clear" w:color="auto" w:fill="FFFFFF"/>
        </w:rPr>
        <w:t>完成年初预算的</w:t>
      </w:r>
      <w:r>
        <w:rPr>
          <w:rFonts w:hint="eastAsia" w:ascii="仿宋" w:hAnsi="仿宋" w:eastAsia="仿宋" w:cs="仿宋"/>
          <w:color w:val="auto"/>
          <w:sz w:val="32"/>
          <w:szCs w:val="32"/>
          <w:highlight w:val="none"/>
        </w:rPr>
        <w:t>68.5%</w:t>
      </w:r>
      <w:r>
        <w:rPr>
          <w:rFonts w:hint="default" w:ascii="仿宋_GB2312" w:hAnsi="微软雅黑" w:eastAsia="仿宋_GB2312" w:cs="仿宋_GB2312"/>
          <w:i w:val="0"/>
          <w:iCs w:val="0"/>
          <w:caps w:val="0"/>
          <w:color w:val="auto"/>
          <w:spacing w:val="0"/>
          <w:sz w:val="31"/>
          <w:szCs w:val="31"/>
          <w:highlight w:val="none"/>
          <w:shd w:val="clear" w:color="auto" w:fill="FFFFFF"/>
        </w:rPr>
        <w:t>，</w:t>
      </w:r>
      <w:r>
        <w:rPr>
          <w:rFonts w:hint="eastAsia" w:ascii="仿宋" w:hAnsi="仿宋" w:eastAsia="仿宋" w:cs="仿宋"/>
          <w:color w:val="auto"/>
          <w:sz w:val="32"/>
          <w:szCs w:val="32"/>
          <w:highlight w:val="none"/>
        </w:rPr>
        <w:t>（简要说明预决算差异）</w:t>
      </w:r>
      <w:r>
        <w:rPr>
          <w:rFonts w:hint="eastAsia" w:ascii="仿宋" w:hAnsi="仿宋" w:eastAsia="仿宋" w:cs="仿宋"/>
          <w:color w:val="auto"/>
          <w:kern w:val="2"/>
          <w:sz w:val="32"/>
          <w:szCs w:val="32"/>
          <w:highlight w:val="none"/>
          <w:lang w:val="en-US" w:eastAsia="zh-CN" w:bidi="ar"/>
        </w:rPr>
        <w:t>主要原因是：按上级要求大力压减办公费用支出，落实政府要过紧日子要求。</w:t>
      </w:r>
    </w:p>
    <w:p>
      <w:pPr>
        <w:jc w:val="left"/>
        <w:rPr>
          <w:rFonts w:hint="default" w:ascii="仿宋" w:hAnsi="仿宋" w:eastAsia="仿宋" w:cs="仿宋"/>
          <w:color w:val="auto"/>
          <w:sz w:val="32"/>
          <w:szCs w:val="32"/>
          <w:highlight w:val="none"/>
          <w:lang w:val="en-US" w:eastAsia="zh-CN"/>
        </w:rPr>
      </w:pPr>
      <w:r>
        <w:rPr>
          <w:rFonts w:hint="eastAsia" w:ascii="仿宋" w:hAnsi="仿宋" w:eastAsia="仿宋"/>
          <w:color w:val="auto"/>
          <w:sz w:val="32"/>
          <w:szCs w:val="32"/>
          <w:highlight w:val="none"/>
          <w:lang w:val="en-US" w:eastAsia="zh-CN"/>
        </w:rPr>
        <w:t>支出具体情况如下</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30201办公费5.58万元，30205水费0.15万元，30206电费3.35万元，30207邮电费0.18万元，30211差旅费6.62万元，30213维修（护）费1.24万元，30214租赁费15.57万元，30216培训费4.37万元，30217公务接待费2.42万元，30226劳务费5.48万元，30228工会经费16.97万元，30231公务用车运行维护费5.15万元，30239其他交通费用46.73万元，30299其他商品和服务支出1.27万元。</w:t>
      </w:r>
    </w:p>
    <w:p>
      <w:pPr>
        <w:jc w:val="cente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drawing>
          <wp:inline distT="0" distB="0" distL="114300" distR="114300">
            <wp:extent cx="4474845" cy="3215640"/>
            <wp:effectExtent l="4445" t="4445" r="16510" b="18415"/>
            <wp:docPr id="18" name="图表 1" title="{{test_sections_chart}}"/>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jc w:val="both"/>
        <w:rPr>
          <w:rFonts w:hint="eastAsia" w:ascii="仿宋" w:hAnsi="仿宋" w:eastAsia="仿宋" w:cs="仿宋"/>
          <w:color w:val="auto"/>
          <w:sz w:val="32"/>
          <w:szCs w:val="32"/>
          <w:highlight w:val="none"/>
        </w:rPr>
      </w:pPr>
    </w:p>
    <w:p>
      <w:pPr>
        <w:keepNext w:val="0"/>
        <w:keepLines w:val="0"/>
        <w:widowControl w:val="0"/>
        <w:numPr>
          <w:ilvl w:val="0"/>
          <w:numId w:val="2"/>
        </w:numPr>
        <w:suppressLineNumbers w:val="0"/>
        <w:spacing w:before="0" w:beforeAutospacing="0" w:after="0" w:afterAutospacing="0"/>
        <w:ind w:left="0" w:leftChars="0" w:right="0" w:firstLine="420" w:firstLineChars="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对个人和家庭的补助</w:t>
      </w:r>
      <w:r>
        <w:rPr>
          <w:rFonts w:ascii="仿宋" w:hAnsi="仿宋" w:eastAsia="仿宋" w:cs="仿宋"/>
          <w:color w:val="auto"/>
          <w:sz w:val="32"/>
          <w:u w:color="auto"/>
        </w:rPr>
        <w:t>16.02万元，</w:t>
      </w:r>
      <w:r>
        <w:rPr>
          <w:rFonts w:hint="default" w:ascii="仿宋_GB2312" w:hAnsi="微软雅黑" w:eastAsia="仿宋_GB2312" w:cs="仿宋_GB2312"/>
          <w:i w:val="0"/>
          <w:iCs w:val="0"/>
          <w:caps w:val="0"/>
          <w:color w:val="auto"/>
          <w:spacing w:val="0"/>
          <w:sz w:val="31"/>
          <w:szCs w:val="31"/>
          <w:highlight w:val="none"/>
          <w:shd w:val="clear" w:color="auto" w:fill="FFFFFF"/>
        </w:rPr>
        <w:t>完成年初预算的</w:t>
      </w:r>
      <w:r>
        <w:rPr>
          <w:rFonts w:hint="eastAsia" w:ascii="仿宋" w:hAnsi="仿宋" w:eastAsia="仿宋" w:cs="仿宋"/>
          <w:color w:val="auto"/>
          <w:sz w:val="32"/>
          <w:szCs w:val="32"/>
          <w:highlight w:val="none"/>
        </w:rPr>
        <w:t>60.48%</w:t>
      </w:r>
      <w:r>
        <w:rPr>
          <w:rFonts w:hint="default" w:ascii="仿宋_GB2312" w:hAnsi="微软雅黑" w:eastAsia="仿宋_GB2312" w:cs="仿宋_GB2312"/>
          <w:i w:val="0"/>
          <w:iCs w:val="0"/>
          <w:caps w:val="0"/>
          <w:color w:val="auto"/>
          <w:spacing w:val="0"/>
          <w:sz w:val="31"/>
          <w:szCs w:val="31"/>
          <w:highlight w:val="none"/>
          <w:shd w:val="clear" w:color="auto" w:fill="FFFFFF"/>
        </w:rPr>
        <w:t>，</w:t>
      </w:r>
      <w:r>
        <w:rPr>
          <w:rFonts w:hint="eastAsia" w:ascii="仿宋" w:hAnsi="仿宋" w:eastAsia="仿宋" w:cs="仿宋"/>
          <w:color w:val="auto"/>
          <w:sz w:val="32"/>
          <w:szCs w:val="32"/>
          <w:highlight w:val="none"/>
        </w:rPr>
        <w:t>（简要说明预决算差异）</w:t>
      </w:r>
      <w:r>
        <w:rPr>
          <w:rFonts w:hint="eastAsia" w:ascii="仿宋" w:hAnsi="仿宋" w:eastAsia="仿宋" w:cs="仿宋"/>
          <w:color w:val="auto"/>
          <w:kern w:val="2"/>
          <w:sz w:val="32"/>
          <w:szCs w:val="32"/>
          <w:highlight w:val="none"/>
          <w:lang w:val="en-US" w:eastAsia="zh-CN" w:bidi="ar"/>
        </w:rPr>
        <w:t>主要原因是：离休人员病逝后费用支出减少。</w:t>
      </w:r>
    </w:p>
    <w:p>
      <w:pPr>
        <w:jc w:val="left"/>
        <w:rPr>
          <w:rFonts w:hint="default" w:ascii="仿宋" w:hAnsi="仿宋" w:eastAsia="仿宋" w:cs="仿宋"/>
          <w:color w:val="auto"/>
          <w:sz w:val="32"/>
          <w:szCs w:val="32"/>
          <w:highlight w:val="none"/>
          <w:lang w:val="en-US" w:eastAsia="zh-CN"/>
        </w:rPr>
      </w:pPr>
      <w:r>
        <w:rPr>
          <w:rFonts w:hint="eastAsia" w:ascii="仿宋" w:hAnsi="仿宋" w:eastAsia="仿宋"/>
          <w:color w:val="auto"/>
          <w:sz w:val="32"/>
          <w:szCs w:val="32"/>
          <w:highlight w:val="none"/>
          <w:lang w:val="en-US" w:eastAsia="zh-CN"/>
        </w:rPr>
        <w:t>支出具体情况如下</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30301离休费9.78万元，30305生活补助5.67万元，30399其他对个人和家庭的补助0.58万元。</w:t>
      </w:r>
    </w:p>
    <w:p>
      <w:pPr>
        <w:jc w:val="cente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drawing>
          <wp:inline distT="0" distB="0" distL="114300" distR="114300">
            <wp:extent cx="4474845" cy="3215640"/>
            <wp:effectExtent l="4445" t="4445" r="16510" b="18415"/>
            <wp:docPr id="20" name="图表 1" title="{{test_sections_chart}}"/>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jc w:val="both"/>
        <w:rPr>
          <w:rFonts w:hint="eastAsia" w:ascii="仿宋" w:hAnsi="仿宋" w:eastAsia="仿宋" w:cs="仿宋"/>
          <w:color w:val="auto"/>
          <w:sz w:val="32"/>
          <w:szCs w:val="32"/>
          <w:highlight w:val="none"/>
        </w:rPr>
      </w:pPr>
    </w:p>
    <w:p>
      <w:pPr>
        <w:jc w:val="left"/>
        <w:rPr>
          <w:rFonts w:ascii="仿宋" w:hAnsi="仿宋" w:eastAsia="仿宋" w:cs="仿宋"/>
          <w:color w:val="auto"/>
          <w:sz w:val="32"/>
          <w:szCs w:val="32"/>
          <w:highlight w:val="none"/>
        </w:rPr>
      </w:pPr>
    </w:p>
    <w:p>
      <w:pPr>
        <w:jc w:val="left"/>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四、2022年度政府性基金支出决算情况</w:t>
      </w:r>
    </w:p>
    <w:p>
      <w:pPr>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河池市生态环境局</w:t>
      </w:r>
      <w:r>
        <w:rPr>
          <w:rFonts w:hint="eastAsia" w:ascii="仿宋" w:hAnsi="仿宋" w:eastAsia="仿宋" w:cs="仿宋"/>
          <w:color w:val="auto"/>
          <w:kern w:val="2"/>
          <w:sz w:val="32"/>
          <w:szCs w:val="32"/>
          <w:lang w:val="en-US" w:eastAsia="zh-CN" w:bidi="ar"/>
        </w:rPr>
        <w:t>没有政府性基金预算财政拨款收入，也没有政府性基金预算财政拨款安排的支出</w:t>
      </w:r>
      <w:r>
        <w:rPr>
          <w:rFonts w:hint="eastAsia" w:ascii="仿宋" w:hAnsi="仿宋" w:eastAsia="仿宋" w:cs="仿宋"/>
          <w:color w:val="auto"/>
          <w:sz w:val="32"/>
          <w:szCs w:val="32"/>
          <w:highlight w:val="none"/>
        </w:rPr>
        <w:t>。</w:t>
      </w:r>
    </w:p>
    <w:p>
      <w:pPr>
        <w:jc w:val="left"/>
        <w:rPr>
          <w:rFonts w:ascii="仿宋" w:hAnsi="仿宋" w:eastAsia="仿宋" w:cs="仿宋"/>
          <w:color w:val="auto"/>
          <w:sz w:val="32"/>
          <w:szCs w:val="32"/>
          <w:highlight w:val="none"/>
        </w:rPr>
      </w:pPr>
      <w:r>
        <w:rPr>
          <w:rFonts w:hint="eastAsia" w:ascii="黑体" w:hAnsi="黑体" w:eastAsia="黑体" w:cs="黑体"/>
          <w:color w:val="auto"/>
          <w:sz w:val="32"/>
          <w:szCs w:val="32"/>
          <w:highlight w:val="none"/>
        </w:rPr>
        <w:t>五、2022年度国有资本经营预算支出决算情况</w:t>
      </w:r>
    </w:p>
    <w:p>
      <w:pPr>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河池市生态环境局</w:t>
      </w:r>
      <w:r>
        <w:rPr>
          <w:rFonts w:hint="eastAsia" w:ascii="仿宋" w:hAnsi="仿宋" w:eastAsia="仿宋" w:cs="仿宋"/>
          <w:color w:val="auto"/>
          <w:kern w:val="2"/>
          <w:sz w:val="32"/>
          <w:szCs w:val="32"/>
          <w:lang w:val="en-US" w:eastAsia="zh-CN" w:bidi="ar"/>
        </w:rPr>
        <w:t>没有国有资本经营预算财政拨款收入，也没有国有资本经营预算财政拨款安排的支出。</w:t>
      </w:r>
    </w:p>
    <w:p>
      <w:pPr>
        <w:jc w:val="left"/>
        <w:rPr>
          <w:rFonts w:ascii="仿宋" w:hAnsi="仿宋" w:eastAsia="仿宋" w:cs="仿宋"/>
          <w:color w:val="auto"/>
          <w:sz w:val="32"/>
          <w:szCs w:val="32"/>
          <w:highlight w:val="none"/>
        </w:rPr>
      </w:pPr>
      <w:r>
        <w:rPr>
          <w:rFonts w:hint="eastAsia" w:ascii="黑体" w:hAnsi="黑体" w:eastAsia="黑体" w:cs="黑体"/>
          <w:color w:val="auto"/>
          <w:sz w:val="32"/>
          <w:szCs w:val="32"/>
          <w:highlight w:val="none"/>
        </w:rPr>
        <w:t>六、一般公共预算财政拨款安排的“三公”经费支出决算情况说明</w:t>
      </w:r>
    </w:p>
    <w:p>
      <w:pPr>
        <w:keepNext w:val="0"/>
        <w:keepLines w:val="0"/>
        <w:widowControl w:val="0"/>
        <w:suppressLineNumbers w:val="0"/>
        <w:spacing w:before="0" w:beforeAutospacing="0" w:after="0" w:afterAutospacing="0"/>
        <w:ind w:left="0" w:right="0"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2022年度一般公共预算财政拨款安排的“三公”经费支出</w:t>
      </w:r>
      <w:r>
        <w:rPr>
          <w:rFonts w:ascii="仿宋" w:hAnsi="仿宋" w:eastAsia="仿宋" w:cs="仿宋"/>
          <w:color w:val="auto"/>
          <w:sz w:val="32"/>
          <w:szCs w:val="32"/>
          <w:highlight w:val="none"/>
        </w:rPr>
        <w:t>46.45</w:t>
      </w:r>
      <w:r>
        <w:rPr>
          <w:rFonts w:hint="eastAsia" w:ascii="仿宋" w:hAnsi="仿宋" w:eastAsia="仿宋" w:cs="仿宋"/>
          <w:color w:val="auto"/>
          <w:sz w:val="32"/>
          <w:szCs w:val="32"/>
          <w:highlight w:val="none"/>
        </w:rPr>
        <w:t>万元，完成年初预算的</w:t>
      </w:r>
      <w:r>
        <w:rPr>
          <w:rFonts w:ascii="仿宋" w:hAnsi="仿宋" w:eastAsia="仿宋" w:cs="仿宋"/>
          <w:color w:val="auto"/>
          <w:sz w:val="32"/>
          <w:szCs w:val="32"/>
          <w:highlight w:val="none"/>
        </w:rPr>
        <w:t>100.00%</w:t>
      </w:r>
      <w:r>
        <w:rPr>
          <w:rFonts w:hint="eastAsia" w:ascii="仿宋" w:hAnsi="仿宋" w:eastAsia="仿宋" w:cs="仿宋"/>
          <w:color w:val="auto"/>
          <w:sz w:val="32"/>
          <w:szCs w:val="32"/>
          <w:highlight w:val="none"/>
        </w:rPr>
        <w:t>，比上年</w:t>
      </w:r>
      <w:r>
        <w:rPr>
          <w:rFonts w:ascii="仿宋" w:hAnsi="仿宋" w:eastAsia="仿宋" w:cs="仿宋"/>
          <w:color w:val="auto"/>
          <w:sz w:val="32"/>
          <w:szCs w:val="32"/>
          <w:highlight w:val="none"/>
        </w:rPr>
        <w:t>减少8.36</w:t>
      </w:r>
      <w:r>
        <w:rPr>
          <w:rFonts w:hint="eastAsia" w:ascii="仿宋" w:hAnsi="仿宋" w:eastAsia="仿宋" w:cs="仿宋"/>
          <w:color w:val="auto"/>
          <w:sz w:val="32"/>
          <w:szCs w:val="32"/>
          <w:highlight w:val="none"/>
        </w:rPr>
        <w:t>万元，</w:t>
      </w:r>
      <w:r>
        <w:rPr>
          <w:rFonts w:hint="eastAsia" w:ascii="仿宋" w:hAnsi="仿宋" w:eastAsia="仿宋" w:cs="仿宋"/>
          <w:color w:val="auto"/>
          <w:kern w:val="2"/>
          <w:sz w:val="32"/>
          <w:szCs w:val="32"/>
          <w:highlight w:val="none"/>
          <w:lang w:val="en-US" w:eastAsia="zh-CN" w:bidi="ar"/>
        </w:rPr>
        <w:t>主要原因是：严格执行中央“八项规定”后，大力压减“三公”支出。</w:t>
      </w:r>
      <w:r>
        <w:rPr>
          <w:rFonts w:hint="eastAsia" w:ascii="仿宋" w:hAnsi="仿宋" w:eastAsia="仿宋" w:cs="仿宋"/>
          <w:color w:val="auto"/>
          <w:sz w:val="32"/>
          <w:szCs w:val="32"/>
          <w:highlight w:val="none"/>
        </w:rPr>
        <w:t>其中：因公出国（境）费支出决算</w:t>
      </w:r>
      <w:r>
        <w:rPr>
          <w:rFonts w:ascii="仿宋" w:hAnsi="仿宋" w:eastAsia="仿宋" w:cs="仿宋"/>
          <w:color w:val="auto"/>
          <w:sz w:val="32"/>
          <w:szCs w:val="32"/>
          <w:highlight w:val="none"/>
        </w:rPr>
        <w:t>0.00</w:t>
      </w:r>
      <w:r>
        <w:rPr>
          <w:rFonts w:hint="eastAsia" w:ascii="仿宋" w:hAnsi="仿宋" w:eastAsia="仿宋" w:cs="仿宋"/>
          <w:color w:val="auto"/>
          <w:sz w:val="32"/>
          <w:szCs w:val="32"/>
          <w:highlight w:val="none"/>
        </w:rPr>
        <w:t>万元，公务用车购置及运行费支出决算</w:t>
      </w:r>
      <w:r>
        <w:rPr>
          <w:rFonts w:ascii="仿宋" w:hAnsi="仿宋" w:eastAsia="仿宋" w:cs="仿宋"/>
          <w:color w:val="auto"/>
          <w:sz w:val="32"/>
          <w:szCs w:val="32"/>
          <w:highlight w:val="none"/>
        </w:rPr>
        <w:t>44.04</w:t>
      </w:r>
      <w:r>
        <w:rPr>
          <w:rFonts w:hint="eastAsia" w:ascii="仿宋" w:hAnsi="仿宋" w:eastAsia="仿宋" w:cs="仿宋"/>
          <w:color w:val="auto"/>
          <w:sz w:val="32"/>
          <w:szCs w:val="32"/>
          <w:highlight w:val="none"/>
        </w:rPr>
        <w:t>万元，公务接待费支出决算</w:t>
      </w:r>
      <w:r>
        <w:rPr>
          <w:rFonts w:ascii="仿宋" w:hAnsi="仿宋" w:eastAsia="仿宋" w:cs="仿宋"/>
          <w:color w:val="auto"/>
          <w:sz w:val="32"/>
          <w:szCs w:val="32"/>
          <w:highlight w:val="none"/>
        </w:rPr>
        <w:t>2.42</w:t>
      </w:r>
      <w:r>
        <w:rPr>
          <w:rFonts w:hint="eastAsia" w:ascii="仿宋" w:hAnsi="仿宋" w:eastAsia="仿宋" w:cs="仿宋"/>
          <w:color w:val="auto"/>
          <w:sz w:val="32"/>
          <w:szCs w:val="32"/>
          <w:highlight w:val="none"/>
        </w:rPr>
        <w:t>万元。</w:t>
      </w:r>
    </w:p>
    <w:p>
      <w:pPr>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具体情况如下：</w:t>
      </w:r>
    </w:p>
    <w:p>
      <w:pPr>
        <w:numPr>
          <w:ilvl w:val="0"/>
          <w:numId w:val="3"/>
        </w:numPr>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因公出国（境）费支出</w:t>
      </w:r>
      <w:r>
        <w:rPr>
          <w:rFonts w:ascii="仿宋" w:hAnsi="仿宋" w:eastAsia="仿宋" w:cs="仿宋"/>
          <w:color w:val="auto"/>
          <w:sz w:val="32"/>
          <w:szCs w:val="32"/>
          <w:highlight w:val="none"/>
        </w:rPr>
        <w:t>0.00</w:t>
      </w:r>
      <w:r>
        <w:rPr>
          <w:rFonts w:hint="eastAsia" w:ascii="仿宋" w:hAnsi="仿宋" w:eastAsia="仿宋" w:cs="仿宋"/>
          <w:color w:val="auto"/>
          <w:sz w:val="32"/>
          <w:szCs w:val="32"/>
          <w:highlight w:val="none"/>
        </w:rPr>
        <w:t>万元，比上年</w:t>
      </w:r>
      <w:r>
        <w:rPr>
          <w:rFonts w:ascii="仿宋" w:hAnsi="仿宋" w:eastAsia="仿宋" w:cs="仿宋"/>
          <w:color w:val="auto"/>
          <w:sz w:val="32"/>
          <w:szCs w:val="32"/>
          <w:highlight w:val="none"/>
        </w:rPr>
        <w:t>增加0.00</w:t>
      </w:r>
      <w:r>
        <w:rPr>
          <w:rFonts w:hint="eastAsia" w:ascii="仿宋" w:hAnsi="仿宋" w:eastAsia="仿宋" w:cs="仿宋"/>
          <w:color w:val="auto"/>
          <w:sz w:val="32"/>
          <w:szCs w:val="32"/>
          <w:highlight w:val="none"/>
        </w:rPr>
        <w:t xml:space="preserve"> 万元。</w:t>
      </w:r>
    </w:p>
    <w:p>
      <w:pPr>
        <w:numPr>
          <w:ilvl w:val="0"/>
          <w:numId w:val="3"/>
        </w:numPr>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公务用车购置及运行费支出</w:t>
      </w:r>
      <w:r>
        <w:rPr>
          <w:rFonts w:ascii="仿宋" w:hAnsi="仿宋" w:eastAsia="仿宋" w:cs="仿宋"/>
          <w:color w:val="auto"/>
          <w:sz w:val="32"/>
          <w:u w:color="auto"/>
        </w:rPr>
        <w:t>44.04</w:t>
      </w:r>
      <w:r>
        <w:rPr>
          <w:rFonts w:hint="eastAsia" w:ascii="仿宋" w:hAnsi="仿宋" w:eastAsia="仿宋" w:cs="仿宋"/>
          <w:color w:val="auto"/>
          <w:sz w:val="32"/>
          <w:szCs w:val="32"/>
          <w:highlight w:val="none"/>
        </w:rPr>
        <w:t>万元。其中：公务用车购置支出</w:t>
      </w:r>
      <w:r>
        <w:rPr>
          <w:rFonts w:ascii="仿宋" w:hAnsi="仿宋" w:eastAsia="仿宋" w:cs="仿宋"/>
          <w:color w:val="auto"/>
          <w:sz w:val="32"/>
          <w:u w:color="auto"/>
        </w:rPr>
        <w:t>29.94</w:t>
      </w:r>
      <w:r>
        <w:rPr>
          <w:rFonts w:hint="eastAsia" w:ascii="仿宋" w:hAnsi="仿宋" w:eastAsia="仿宋" w:cs="仿宋"/>
          <w:color w:val="auto"/>
          <w:sz w:val="32"/>
          <w:szCs w:val="32"/>
          <w:highlight w:val="none"/>
        </w:rPr>
        <w:t>万元，完成年初预算的</w:t>
      </w:r>
      <w:r>
        <w:rPr>
          <w:rFonts w:ascii="仿宋" w:hAnsi="仿宋" w:eastAsia="仿宋" w:cs="仿宋"/>
          <w:color w:val="auto"/>
          <w:sz w:val="32"/>
          <w:u w:color="auto"/>
        </w:rPr>
        <w:t>100.00%</w:t>
      </w:r>
      <w:r>
        <w:rPr>
          <w:rFonts w:hint="eastAsia" w:ascii="仿宋" w:hAnsi="仿宋" w:eastAsia="仿宋" w:cs="仿宋"/>
          <w:color w:val="auto"/>
          <w:sz w:val="32"/>
          <w:szCs w:val="32"/>
          <w:highlight w:val="none"/>
        </w:rPr>
        <w:t>，比上年</w:t>
      </w:r>
      <w:r>
        <w:rPr>
          <w:rFonts w:ascii="仿宋" w:hAnsi="仿宋" w:eastAsia="仿宋" w:cs="仿宋"/>
          <w:color w:val="auto"/>
          <w:sz w:val="32"/>
          <w:u w:color="auto"/>
        </w:rPr>
        <w:t>减少13.36</w:t>
      </w:r>
      <w:r>
        <w:rPr>
          <w:rFonts w:hint="eastAsia" w:ascii="仿宋" w:hAnsi="仿宋" w:eastAsia="仿宋" w:cs="仿宋"/>
          <w:color w:val="auto"/>
          <w:sz w:val="32"/>
          <w:szCs w:val="32"/>
          <w:highlight w:val="none"/>
        </w:rPr>
        <w:t xml:space="preserve"> 万元。</w:t>
      </w:r>
      <w:r>
        <w:rPr>
          <w:rFonts w:hint="eastAsia" w:ascii="仿宋" w:hAnsi="仿宋" w:eastAsia="仿宋" w:cs="仿宋"/>
          <w:color w:val="auto"/>
          <w:kern w:val="2"/>
          <w:sz w:val="32"/>
          <w:szCs w:val="32"/>
          <w:highlight w:val="none"/>
          <w:lang w:val="en-US" w:eastAsia="zh-CN" w:bidi="ar"/>
        </w:rPr>
        <w:t>原因是：自治区下达生态环境监察补助资金采购环境监察巡查特种车辆，公务车辆购置费降低。</w:t>
      </w:r>
      <w:r>
        <w:rPr>
          <w:rFonts w:hint="eastAsia" w:ascii="仿宋" w:hAnsi="仿宋" w:eastAsia="仿宋" w:cs="仿宋"/>
          <w:color w:val="auto"/>
          <w:sz w:val="32"/>
          <w:szCs w:val="32"/>
          <w:highlight w:val="none"/>
        </w:rPr>
        <w:t>公务用车运行支出</w:t>
      </w:r>
      <w:r>
        <w:rPr>
          <w:rFonts w:ascii="仿宋" w:hAnsi="仿宋" w:eastAsia="仿宋" w:cs="仿宋"/>
          <w:color w:val="auto"/>
          <w:sz w:val="32"/>
          <w:u w:color="auto"/>
        </w:rPr>
        <w:t>14.10</w:t>
      </w:r>
      <w:r>
        <w:rPr>
          <w:rFonts w:hint="eastAsia" w:ascii="仿宋" w:hAnsi="仿宋" w:eastAsia="仿宋" w:cs="仿宋"/>
          <w:color w:val="auto"/>
          <w:sz w:val="32"/>
          <w:szCs w:val="32"/>
          <w:highlight w:val="none"/>
        </w:rPr>
        <w:t>万元，完成年初预算的</w:t>
      </w:r>
      <w:r>
        <w:rPr>
          <w:rFonts w:ascii="仿宋" w:hAnsi="仿宋" w:eastAsia="仿宋" w:cs="仿宋"/>
          <w:color w:val="auto"/>
          <w:sz w:val="32"/>
          <w:u w:color="auto"/>
        </w:rPr>
        <w:t>100.00%</w:t>
      </w:r>
      <w:r>
        <w:rPr>
          <w:rFonts w:hint="eastAsia" w:ascii="仿宋" w:hAnsi="仿宋" w:eastAsia="仿宋" w:cs="仿宋"/>
          <w:color w:val="auto"/>
          <w:sz w:val="32"/>
          <w:szCs w:val="32"/>
          <w:highlight w:val="none"/>
        </w:rPr>
        <w:t>，比上年</w:t>
      </w:r>
      <w:r>
        <w:rPr>
          <w:rFonts w:ascii="仿宋" w:hAnsi="仿宋" w:eastAsia="仿宋" w:cs="仿宋"/>
          <w:color w:val="auto"/>
          <w:sz w:val="32"/>
          <w:u w:color="auto"/>
        </w:rPr>
        <w:t>增加5.67</w:t>
      </w:r>
      <w:r>
        <w:rPr>
          <w:rFonts w:hint="eastAsia" w:ascii="仿宋" w:hAnsi="仿宋" w:eastAsia="仿宋" w:cs="仿宋"/>
          <w:color w:val="auto"/>
          <w:sz w:val="32"/>
          <w:szCs w:val="32"/>
          <w:highlight w:val="none"/>
        </w:rPr>
        <w:t>万元。</w:t>
      </w:r>
      <w:r>
        <w:rPr>
          <w:rFonts w:hint="eastAsia" w:ascii="仿宋" w:hAnsi="仿宋" w:eastAsia="仿宋" w:cs="仿宋"/>
          <w:color w:val="auto"/>
          <w:kern w:val="2"/>
          <w:sz w:val="32"/>
          <w:szCs w:val="32"/>
          <w:highlight w:val="none"/>
          <w:lang w:val="en-US" w:eastAsia="zh-CN" w:bidi="ar"/>
        </w:rPr>
        <w:t>原因是：车辆增加公务用车运行维护费增加。</w:t>
      </w:r>
      <w:r>
        <w:rPr>
          <w:rFonts w:hint="eastAsia" w:ascii="仿宋" w:hAnsi="仿宋" w:eastAsia="仿宋" w:cs="仿宋"/>
          <w:color w:val="auto"/>
          <w:sz w:val="32"/>
          <w:szCs w:val="32"/>
          <w:highlight w:val="none"/>
        </w:rPr>
        <w:t>2022年，</w:t>
      </w:r>
      <w:r>
        <w:rPr>
          <w:rFonts w:ascii="仿宋" w:hAnsi="仿宋" w:eastAsia="仿宋" w:cs="仿宋"/>
          <w:color w:val="auto"/>
          <w:sz w:val="32"/>
          <w:u w:color="auto"/>
        </w:rPr>
        <w:t>河池市生态环境局</w:t>
      </w:r>
      <w:r>
        <w:rPr>
          <w:rFonts w:hint="eastAsia" w:ascii="仿宋" w:hAnsi="仿宋" w:eastAsia="仿宋" w:cs="仿宋"/>
          <w:color w:val="auto"/>
          <w:sz w:val="32"/>
          <w:szCs w:val="32"/>
          <w:highlight w:val="none"/>
        </w:rPr>
        <w:t>及所属单位开支财政拨款的公务用车保有量为</w:t>
      </w:r>
      <w:r>
        <w:rPr>
          <w:rFonts w:hint="eastAsia" w:ascii="仿宋" w:hAnsi="仿宋" w:eastAsia="仿宋" w:cs="仿宋"/>
          <w:color w:val="auto"/>
          <w:sz w:val="32"/>
          <w:u w:color="auto"/>
          <w:lang w:val="en-US" w:eastAsia="zh-CN"/>
        </w:rPr>
        <w:t>6</w:t>
      </w:r>
      <w:r>
        <w:rPr>
          <w:rFonts w:hint="eastAsia" w:ascii="仿宋" w:hAnsi="仿宋" w:eastAsia="仿宋" w:cs="仿宋"/>
          <w:color w:val="auto"/>
          <w:sz w:val="32"/>
          <w:szCs w:val="32"/>
          <w:highlight w:val="none"/>
        </w:rPr>
        <w:t>辆，全年运行费支出</w:t>
      </w:r>
      <w:r>
        <w:rPr>
          <w:rFonts w:ascii="仿宋" w:hAnsi="仿宋" w:eastAsia="仿宋" w:cs="仿宋"/>
          <w:color w:val="auto"/>
          <w:sz w:val="32"/>
          <w:u w:color="auto"/>
        </w:rPr>
        <w:t>14.10</w:t>
      </w:r>
      <w:r>
        <w:rPr>
          <w:rFonts w:hint="eastAsia" w:ascii="仿宋" w:hAnsi="仿宋" w:eastAsia="仿宋" w:cs="仿宋"/>
          <w:color w:val="auto"/>
          <w:sz w:val="32"/>
          <w:szCs w:val="32"/>
          <w:highlight w:val="none"/>
        </w:rPr>
        <w:t>万元。</w:t>
      </w:r>
    </w:p>
    <w:p>
      <w:pPr>
        <w:keepNext w:val="0"/>
        <w:keepLines w:val="0"/>
        <w:widowControl w:val="0"/>
        <w:suppressLineNumbers w:val="0"/>
        <w:spacing w:before="0" w:beforeAutospacing="0" w:after="0" w:afterAutospacing="0"/>
        <w:ind w:left="0" w:right="0"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（三）公务接待费支出</w:t>
      </w:r>
      <w:r>
        <w:rPr>
          <w:rFonts w:ascii="仿宋" w:hAnsi="仿宋" w:eastAsia="仿宋" w:cs="仿宋"/>
          <w:color w:val="auto"/>
          <w:sz w:val="32"/>
          <w:szCs w:val="32"/>
          <w:highlight w:val="none"/>
        </w:rPr>
        <w:t>2.42</w:t>
      </w:r>
      <w:r>
        <w:rPr>
          <w:rFonts w:hint="eastAsia" w:ascii="仿宋" w:hAnsi="仿宋" w:eastAsia="仿宋" w:cs="仿宋"/>
          <w:color w:val="auto"/>
          <w:sz w:val="32"/>
          <w:szCs w:val="32"/>
          <w:highlight w:val="none"/>
        </w:rPr>
        <w:t>万元，完成年初预算的</w:t>
      </w:r>
      <w:r>
        <w:rPr>
          <w:rFonts w:ascii="仿宋" w:hAnsi="仿宋" w:eastAsia="仿宋" w:cs="仿宋"/>
          <w:color w:val="auto"/>
          <w:sz w:val="32"/>
          <w:szCs w:val="32"/>
          <w:highlight w:val="none"/>
        </w:rPr>
        <w:t>69.14%</w:t>
      </w:r>
      <w:r>
        <w:rPr>
          <w:rFonts w:hint="eastAsia" w:ascii="仿宋" w:hAnsi="仿宋" w:eastAsia="仿宋" w:cs="仿宋"/>
          <w:color w:val="auto"/>
          <w:sz w:val="32"/>
          <w:szCs w:val="32"/>
          <w:highlight w:val="none"/>
        </w:rPr>
        <w:t>， 比上年</w:t>
      </w:r>
      <w:r>
        <w:rPr>
          <w:rFonts w:ascii="仿宋" w:hAnsi="仿宋" w:eastAsia="仿宋" w:cs="仿宋"/>
          <w:color w:val="auto"/>
          <w:sz w:val="32"/>
          <w:szCs w:val="32"/>
          <w:highlight w:val="none"/>
        </w:rPr>
        <w:t>减少0.66</w:t>
      </w:r>
      <w:r>
        <w:rPr>
          <w:rFonts w:hint="eastAsia" w:ascii="仿宋" w:hAnsi="仿宋" w:eastAsia="仿宋" w:cs="仿宋"/>
          <w:color w:val="auto"/>
          <w:sz w:val="32"/>
          <w:szCs w:val="32"/>
          <w:highlight w:val="none"/>
        </w:rPr>
        <w:t>万元，</w:t>
      </w:r>
      <w:r>
        <w:rPr>
          <w:rFonts w:hint="eastAsia" w:ascii="仿宋" w:hAnsi="仿宋" w:eastAsia="仿宋" w:cs="仿宋"/>
          <w:color w:val="auto"/>
          <w:kern w:val="2"/>
          <w:sz w:val="32"/>
          <w:szCs w:val="32"/>
          <w:highlight w:val="none"/>
          <w:lang w:val="en-US" w:eastAsia="zh-CN" w:bidi="ar"/>
        </w:rPr>
        <w:t>主要原因是：严格执行中央“八项规定”，大力压减公务接待支出。</w:t>
      </w:r>
      <w:r>
        <w:rPr>
          <w:rFonts w:hint="eastAsia" w:ascii="仿宋" w:hAnsi="仿宋" w:eastAsia="仿宋" w:cs="仿宋"/>
          <w:color w:val="auto"/>
          <w:sz w:val="32"/>
          <w:szCs w:val="32"/>
          <w:highlight w:val="none"/>
        </w:rPr>
        <w:t>国内公务接待批次</w:t>
      </w:r>
      <w:r>
        <w:rPr>
          <w:rFonts w:ascii="仿宋" w:hAnsi="仿宋" w:eastAsia="仿宋" w:cs="仿宋"/>
          <w:color w:val="auto"/>
          <w:sz w:val="32"/>
          <w:szCs w:val="32"/>
          <w:highlight w:val="none"/>
        </w:rPr>
        <w:t>25</w:t>
      </w:r>
      <w:r>
        <w:rPr>
          <w:rFonts w:hint="eastAsia" w:ascii="仿宋" w:hAnsi="仿宋" w:eastAsia="仿宋" w:cs="仿宋"/>
          <w:color w:val="auto"/>
          <w:sz w:val="32"/>
          <w:szCs w:val="32"/>
          <w:highlight w:val="none"/>
        </w:rPr>
        <w:t>次，人次</w:t>
      </w:r>
      <w:r>
        <w:rPr>
          <w:rFonts w:ascii="仿宋" w:hAnsi="仿宋" w:eastAsia="仿宋" w:cs="仿宋"/>
          <w:color w:val="auto"/>
          <w:sz w:val="32"/>
          <w:szCs w:val="32"/>
          <w:highlight w:val="none"/>
        </w:rPr>
        <w:t>470</w:t>
      </w:r>
      <w:r>
        <w:rPr>
          <w:rFonts w:hint="eastAsia" w:ascii="仿宋" w:hAnsi="仿宋" w:eastAsia="仿宋" w:cs="仿宋"/>
          <w:color w:val="auto"/>
          <w:sz w:val="32"/>
          <w:szCs w:val="32"/>
          <w:highlight w:val="none"/>
        </w:rPr>
        <w:t>次，国（境）外公务接待批次</w:t>
      </w:r>
      <w:r>
        <w:rPr>
          <w:rFonts w:ascii="仿宋" w:hAnsi="仿宋" w:eastAsia="仿宋" w:cs="仿宋"/>
          <w:color w:val="auto"/>
          <w:sz w:val="32"/>
          <w:szCs w:val="32"/>
          <w:highlight w:val="none"/>
        </w:rPr>
        <w:t>0</w:t>
      </w:r>
      <w:r>
        <w:rPr>
          <w:rFonts w:hint="eastAsia" w:ascii="仿宋" w:hAnsi="仿宋" w:eastAsia="仿宋" w:cs="仿宋"/>
          <w:color w:val="auto"/>
          <w:sz w:val="32"/>
          <w:szCs w:val="32"/>
          <w:highlight w:val="none"/>
        </w:rPr>
        <w:t>次，人次</w:t>
      </w:r>
      <w:r>
        <w:rPr>
          <w:rFonts w:ascii="仿宋" w:hAnsi="仿宋" w:eastAsia="仿宋" w:cs="仿宋"/>
          <w:color w:val="auto"/>
          <w:sz w:val="32"/>
          <w:szCs w:val="32"/>
          <w:highlight w:val="none"/>
        </w:rPr>
        <w:t>0</w:t>
      </w:r>
      <w:r>
        <w:rPr>
          <w:rFonts w:hint="eastAsia" w:ascii="仿宋" w:hAnsi="仿宋" w:eastAsia="仿宋" w:cs="仿宋"/>
          <w:color w:val="auto"/>
          <w:sz w:val="32"/>
          <w:szCs w:val="32"/>
          <w:highlight w:val="none"/>
        </w:rPr>
        <w:t>次。</w:t>
      </w:r>
    </w:p>
    <w:p>
      <w:pPr>
        <w:jc w:val="left"/>
        <w:rPr>
          <w:rFonts w:ascii="仿宋" w:hAnsi="仿宋" w:eastAsia="仿宋" w:cs="仿宋"/>
          <w:color w:val="auto"/>
          <w:sz w:val="32"/>
          <w:szCs w:val="32"/>
          <w:highlight w:val="none"/>
        </w:rPr>
      </w:pPr>
      <w:r>
        <w:rPr>
          <w:rFonts w:hint="eastAsia" w:ascii="黑体" w:hAnsi="黑体" w:eastAsia="黑体" w:cs="黑体"/>
          <w:color w:val="auto"/>
          <w:sz w:val="32"/>
          <w:szCs w:val="32"/>
          <w:highlight w:val="none"/>
        </w:rPr>
        <w:t>七、其他重要事项情况说明</w:t>
      </w:r>
    </w:p>
    <w:p>
      <w:pPr>
        <w:jc w:val="left"/>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（一） 机关运行经费支出情况说明</w:t>
      </w:r>
    </w:p>
    <w:p>
      <w:pPr>
        <w:keepNext w:val="0"/>
        <w:keepLines w:val="0"/>
        <w:widowControl w:val="0"/>
        <w:suppressLineNumbers w:val="0"/>
        <w:spacing w:before="0" w:beforeAutospacing="0" w:after="0" w:afterAutospacing="0"/>
        <w:ind w:left="0" w:right="0"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本部门2022年度机关运行经费支出</w:t>
      </w:r>
      <w:r>
        <w:rPr>
          <w:rFonts w:ascii="仿宋" w:hAnsi="仿宋" w:eastAsia="仿宋" w:cs="仿宋"/>
          <w:color w:val="auto"/>
          <w:sz w:val="32"/>
          <w:szCs w:val="32"/>
          <w:highlight w:val="none"/>
        </w:rPr>
        <w:t>115.06</w:t>
      </w:r>
      <w:r>
        <w:rPr>
          <w:rFonts w:hint="eastAsia" w:ascii="仿宋" w:hAnsi="仿宋" w:eastAsia="仿宋" w:cs="仿宋"/>
          <w:color w:val="auto"/>
          <w:sz w:val="32"/>
          <w:szCs w:val="32"/>
          <w:highlight w:val="none"/>
        </w:rPr>
        <w:t>万元（与部门决算中行政单位和参照公务员法管理事业单位一般公共预算财政拨款基本支出中公用经费之和一致），比年初预算数</w:t>
      </w:r>
      <w:r>
        <w:rPr>
          <w:rFonts w:ascii="仿宋" w:hAnsi="仿宋" w:eastAsia="仿宋" w:cs="仿宋"/>
          <w:color w:val="auto"/>
          <w:sz w:val="32"/>
          <w:szCs w:val="32"/>
          <w:highlight w:val="none"/>
        </w:rPr>
        <w:t>减少52.91</w:t>
      </w:r>
      <w:r>
        <w:rPr>
          <w:rFonts w:hint="eastAsia" w:ascii="仿宋" w:hAnsi="仿宋" w:eastAsia="仿宋" w:cs="仿宋"/>
          <w:color w:val="auto"/>
          <w:sz w:val="32"/>
          <w:szCs w:val="32"/>
          <w:highlight w:val="none"/>
        </w:rPr>
        <w:t>万元，</w:t>
      </w:r>
      <w:r>
        <w:rPr>
          <w:rFonts w:ascii="仿宋" w:hAnsi="仿宋" w:eastAsia="仿宋" w:cs="仿宋"/>
          <w:color w:val="auto"/>
          <w:sz w:val="32"/>
          <w:szCs w:val="32"/>
          <w:highlight w:val="none"/>
        </w:rPr>
        <w:t>下降31.5%</w:t>
      </w:r>
      <w:r>
        <w:rPr>
          <w:rFonts w:hint="eastAsia" w:ascii="仿宋" w:hAnsi="仿宋" w:eastAsia="仿宋" w:cs="仿宋"/>
          <w:color w:val="auto"/>
          <w:sz w:val="32"/>
          <w:szCs w:val="32"/>
          <w:highlight w:val="none"/>
        </w:rPr>
        <w:t>，比上年决算数</w:t>
      </w:r>
      <w:r>
        <w:rPr>
          <w:rFonts w:ascii="仿宋" w:hAnsi="仿宋" w:eastAsia="仿宋" w:cs="仿宋"/>
          <w:color w:val="auto"/>
          <w:sz w:val="32"/>
          <w:szCs w:val="32"/>
          <w:highlight w:val="none"/>
        </w:rPr>
        <w:t>增加18.69</w:t>
      </w:r>
      <w:r>
        <w:rPr>
          <w:rFonts w:hint="eastAsia" w:ascii="仿宋" w:hAnsi="仿宋" w:eastAsia="仿宋" w:cs="仿宋"/>
          <w:color w:val="auto"/>
          <w:sz w:val="32"/>
          <w:szCs w:val="32"/>
          <w:highlight w:val="none"/>
        </w:rPr>
        <w:t>万元，</w:t>
      </w:r>
      <w:r>
        <w:rPr>
          <w:rFonts w:ascii="仿宋" w:hAnsi="仿宋" w:eastAsia="仿宋" w:cs="仿宋"/>
          <w:color w:val="auto"/>
          <w:sz w:val="32"/>
          <w:szCs w:val="32"/>
          <w:highlight w:val="none"/>
        </w:rPr>
        <w:t>增长19.39%</w:t>
      </w:r>
      <w:r>
        <w:rPr>
          <w:rFonts w:hint="eastAsia" w:ascii="仿宋" w:hAnsi="仿宋" w:eastAsia="仿宋" w:cs="仿宋"/>
          <w:color w:val="auto"/>
          <w:sz w:val="32"/>
          <w:szCs w:val="32"/>
          <w:highlight w:val="none"/>
        </w:rPr>
        <w:t>。</w:t>
      </w:r>
      <w:r>
        <w:rPr>
          <w:rFonts w:hint="eastAsia" w:ascii="仿宋" w:hAnsi="仿宋" w:eastAsia="仿宋" w:cs="仿宋"/>
          <w:color w:val="auto"/>
          <w:kern w:val="2"/>
          <w:sz w:val="32"/>
          <w:szCs w:val="32"/>
          <w:highlight w:val="none"/>
          <w:lang w:val="en-US" w:eastAsia="zh-CN" w:bidi="ar"/>
        </w:rPr>
        <w:t>主要原因是：11县区生态环境派出局人员经费纳入市本级经费保障后行政运行费增加。</w:t>
      </w:r>
    </w:p>
    <w:p>
      <w:pPr>
        <w:jc w:val="left"/>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（二）政府采购支出情况说明</w:t>
      </w:r>
    </w:p>
    <w:p>
      <w:pPr>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本部门2022年度政府采购支出总额</w:t>
      </w:r>
      <w:r>
        <w:rPr>
          <w:rFonts w:ascii="仿宋" w:hAnsi="仿宋" w:eastAsia="仿宋" w:cs="仿宋"/>
          <w:color w:val="auto"/>
          <w:sz w:val="32"/>
          <w:szCs w:val="32"/>
          <w:highlight w:val="none"/>
        </w:rPr>
        <w:t>0.00</w:t>
      </w:r>
      <w:r>
        <w:rPr>
          <w:rFonts w:hint="eastAsia" w:ascii="仿宋" w:hAnsi="仿宋" w:eastAsia="仿宋" w:cs="仿宋"/>
          <w:color w:val="auto"/>
          <w:sz w:val="32"/>
          <w:szCs w:val="32"/>
          <w:highlight w:val="none"/>
        </w:rPr>
        <w:t>万元，其中：政府采购货物支出</w:t>
      </w:r>
      <w:r>
        <w:rPr>
          <w:rFonts w:hint="eastAsia" w:ascii="仿宋" w:hAnsi="仿宋" w:eastAsia="仿宋" w:cs="仿宋"/>
          <w:color w:val="auto"/>
          <w:sz w:val="32"/>
          <w:szCs w:val="32"/>
          <w:highlight w:val="none"/>
          <w:lang w:val="en-US" w:eastAsia="zh-CN"/>
        </w:rPr>
        <w:t>70.53</w:t>
      </w:r>
      <w:r>
        <w:rPr>
          <w:rFonts w:hint="eastAsia" w:ascii="仿宋" w:hAnsi="仿宋" w:eastAsia="仿宋" w:cs="仿宋"/>
          <w:color w:val="auto"/>
          <w:sz w:val="32"/>
          <w:szCs w:val="32"/>
          <w:highlight w:val="none"/>
        </w:rPr>
        <w:t>万元、政府采购工程支出</w:t>
      </w:r>
      <w:r>
        <w:rPr>
          <w:rFonts w:ascii="仿宋" w:hAnsi="仿宋" w:eastAsia="仿宋" w:cs="仿宋"/>
          <w:color w:val="auto"/>
          <w:sz w:val="32"/>
          <w:szCs w:val="32"/>
          <w:highlight w:val="none"/>
        </w:rPr>
        <w:t>0.00</w:t>
      </w:r>
      <w:r>
        <w:rPr>
          <w:rFonts w:hint="eastAsia" w:ascii="仿宋" w:hAnsi="仿宋" w:eastAsia="仿宋" w:cs="仿宋"/>
          <w:color w:val="auto"/>
          <w:sz w:val="32"/>
          <w:szCs w:val="32"/>
          <w:highlight w:val="none"/>
        </w:rPr>
        <w:t>万元、政府采购服务支出</w:t>
      </w:r>
      <w:r>
        <w:rPr>
          <w:rFonts w:hint="eastAsia" w:ascii="仿宋" w:hAnsi="仿宋" w:eastAsia="仿宋" w:cs="仿宋"/>
          <w:color w:val="auto"/>
          <w:sz w:val="32"/>
          <w:szCs w:val="32"/>
          <w:highlight w:val="none"/>
          <w:lang w:val="en-US" w:eastAsia="zh-CN"/>
        </w:rPr>
        <w:t>76.11</w:t>
      </w:r>
      <w:r>
        <w:rPr>
          <w:rFonts w:hint="eastAsia" w:ascii="仿宋" w:hAnsi="仿宋" w:eastAsia="仿宋" w:cs="仿宋"/>
          <w:color w:val="auto"/>
          <w:sz w:val="32"/>
          <w:szCs w:val="32"/>
          <w:highlight w:val="none"/>
        </w:rPr>
        <w:t>万元。授予中小企业合同金额</w:t>
      </w:r>
      <w:r>
        <w:rPr>
          <w:rFonts w:ascii="仿宋" w:hAnsi="仿宋" w:eastAsia="仿宋" w:cs="仿宋"/>
          <w:color w:val="auto"/>
          <w:sz w:val="32"/>
          <w:szCs w:val="32"/>
          <w:highlight w:val="none"/>
        </w:rPr>
        <w:t>0.00</w:t>
      </w:r>
      <w:r>
        <w:rPr>
          <w:rFonts w:hint="eastAsia" w:ascii="仿宋" w:hAnsi="仿宋" w:eastAsia="仿宋" w:cs="仿宋"/>
          <w:color w:val="auto"/>
          <w:sz w:val="32"/>
          <w:szCs w:val="32"/>
          <w:highlight w:val="none"/>
        </w:rPr>
        <w:t>万元，占政府采购支出总额的</w:t>
      </w:r>
      <w:r>
        <w:rPr>
          <w:rFonts w:ascii="仿宋" w:hAnsi="仿宋" w:eastAsia="仿宋" w:cs="仿宋"/>
          <w:color w:val="auto"/>
          <w:sz w:val="32"/>
          <w:szCs w:val="32"/>
          <w:highlight w:val="none"/>
        </w:rPr>
        <w:t>0%</w:t>
      </w:r>
      <w:r>
        <w:rPr>
          <w:rFonts w:hint="eastAsia" w:ascii="仿宋" w:hAnsi="仿宋" w:eastAsia="仿宋" w:cs="仿宋"/>
          <w:color w:val="auto"/>
          <w:sz w:val="32"/>
          <w:szCs w:val="32"/>
          <w:highlight w:val="none"/>
        </w:rPr>
        <w:t>，其中：授予小微企业合同金额</w:t>
      </w:r>
      <w:r>
        <w:rPr>
          <w:rFonts w:ascii="仿宋" w:hAnsi="仿宋" w:eastAsia="仿宋" w:cs="仿宋"/>
          <w:color w:val="auto"/>
          <w:sz w:val="32"/>
          <w:szCs w:val="32"/>
          <w:highlight w:val="none"/>
        </w:rPr>
        <w:t>0.00</w:t>
      </w:r>
      <w:r>
        <w:rPr>
          <w:rFonts w:hint="eastAsia" w:ascii="仿宋" w:hAnsi="仿宋" w:eastAsia="仿宋" w:cs="仿宋"/>
          <w:color w:val="auto"/>
          <w:sz w:val="32"/>
          <w:szCs w:val="32"/>
          <w:highlight w:val="none"/>
        </w:rPr>
        <w:t>万元，占授予中小企业合同金额的</w:t>
      </w:r>
      <w:r>
        <w:rPr>
          <w:rFonts w:ascii="仿宋" w:hAnsi="仿宋" w:eastAsia="仿宋" w:cs="仿宋"/>
          <w:color w:val="auto"/>
          <w:sz w:val="32"/>
          <w:szCs w:val="32"/>
          <w:highlight w:val="none"/>
        </w:rPr>
        <w:t>0%</w:t>
      </w:r>
      <w:r>
        <w:rPr>
          <w:rFonts w:hint="eastAsia" w:ascii="仿宋" w:hAnsi="仿宋" w:eastAsia="仿宋" w:cs="仿宋"/>
          <w:color w:val="auto"/>
          <w:sz w:val="32"/>
          <w:szCs w:val="32"/>
          <w:highlight w:val="none"/>
        </w:rPr>
        <w:t>。</w:t>
      </w:r>
    </w:p>
    <w:p>
      <w:pPr>
        <w:jc w:val="left"/>
        <w:rPr>
          <w:rFonts w:ascii="仿宋" w:hAnsi="仿宋" w:eastAsia="仿宋" w:cs="仿宋"/>
          <w:color w:val="auto"/>
          <w:sz w:val="32"/>
          <w:szCs w:val="32"/>
          <w:highlight w:val="none"/>
        </w:rPr>
      </w:pPr>
      <w:r>
        <w:rPr>
          <w:rFonts w:hint="eastAsia" w:ascii="黑体" w:hAnsi="黑体" w:eastAsia="黑体" w:cs="黑体"/>
          <w:color w:val="auto"/>
          <w:sz w:val="32"/>
          <w:szCs w:val="32"/>
          <w:highlight w:val="none"/>
        </w:rPr>
        <w:t>（三）国有资产占用情况说明</w:t>
      </w:r>
    </w:p>
    <w:p>
      <w:pPr>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截至2022年12月31日，本部门共有车辆</w:t>
      </w:r>
      <w:r>
        <w:rPr>
          <w:rFonts w:hint="eastAsia" w:ascii="仿宋" w:hAnsi="仿宋" w:eastAsia="仿宋" w:cs="仿宋"/>
          <w:color w:val="auto"/>
          <w:sz w:val="32"/>
          <w:szCs w:val="32"/>
          <w:highlight w:val="none"/>
          <w:lang w:val="en-US" w:eastAsia="zh-CN"/>
        </w:rPr>
        <w:t>6</w:t>
      </w:r>
      <w:r>
        <w:rPr>
          <w:rFonts w:hint="eastAsia" w:ascii="仿宋" w:hAnsi="仿宋" w:eastAsia="仿宋" w:cs="仿宋"/>
          <w:color w:val="auto"/>
          <w:sz w:val="32"/>
          <w:szCs w:val="32"/>
          <w:highlight w:val="none"/>
        </w:rPr>
        <w:t>辆，其中：副部（省）级领导干部用车</w:t>
      </w:r>
      <w:r>
        <w:rPr>
          <w:rFonts w:ascii="仿宋" w:hAnsi="仿宋" w:eastAsia="仿宋" w:cs="仿宋"/>
          <w:color w:val="auto"/>
          <w:sz w:val="32"/>
          <w:szCs w:val="32"/>
          <w:highlight w:val="none"/>
        </w:rPr>
        <w:t>0</w:t>
      </w:r>
      <w:r>
        <w:rPr>
          <w:rFonts w:hint="eastAsia" w:ascii="仿宋" w:hAnsi="仿宋" w:eastAsia="仿宋" w:cs="仿宋"/>
          <w:color w:val="auto"/>
          <w:sz w:val="32"/>
          <w:szCs w:val="32"/>
          <w:highlight w:val="none"/>
        </w:rPr>
        <w:t>辆、机要通信用车</w:t>
      </w:r>
      <w:r>
        <w:rPr>
          <w:rFonts w:ascii="仿宋" w:hAnsi="仿宋" w:eastAsia="仿宋" w:cs="仿宋"/>
          <w:color w:val="auto"/>
          <w:sz w:val="32"/>
          <w:szCs w:val="32"/>
          <w:highlight w:val="none"/>
        </w:rPr>
        <w:t>0</w:t>
      </w:r>
      <w:r>
        <w:rPr>
          <w:rFonts w:hint="eastAsia" w:ascii="仿宋" w:hAnsi="仿宋" w:eastAsia="仿宋" w:cs="仿宋"/>
          <w:color w:val="auto"/>
          <w:sz w:val="32"/>
          <w:szCs w:val="32"/>
          <w:highlight w:val="none"/>
        </w:rPr>
        <w:t>辆、应急保障用车</w:t>
      </w: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sz w:val="32"/>
          <w:szCs w:val="32"/>
          <w:highlight w:val="none"/>
        </w:rPr>
        <w:t>辆、执法执勤用车</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辆、特种专业技术用车</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辆、其他用车</w:t>
      </w:r>
      <w:r>
        <w:rPr>
          <w:rFonts w:ascii="仿宋" w:hAnsi="仿宋" w:eastAsia="仿宋" w:cs="仿宋"/>
          <w:color w:val="auto"/>
          <w:sz w:val="32"/>
          <w:szCs w:val="32"/>
          <w:highlight w:val="none"/>
        </w:rPr>
        <w:t>0</w:t>
      </w:r>
      <w:r>
        <w:rPr>
          <w:rFonts w:hint="eastAsia" w:ascii="仿宋" w:hAnsi="仿宋" w:eastAsia="仿宋" w:cs="仿宋"/>
          <w:color w:val="auto"/>
          <w:sz w:val="32"/>
          <w:szCs w:val="32"/>
          <w:highlight w:val="none"/>
        </w:rPr>
        <w:t>辆；单位价值50万元以上通用设备</w:t>
      </w:r>
      <w:r>
        <w:rPr>
          <w:rFonts w:ascii="仿宋" w:hAnsi="仿宋" w:eastAsia="仿宋" w:cs="仿宋"/>
          <w:color w:val="auto"/>
          <w:sz w:val="32"/>
          <w:szCs w:val="32"/>
          <w:highlight w:val="none"/>
        </w:rPr>
        <w:t>0</w:t>
      </w:r>
      <w:r>
        <w:rPr>
          <w:rFonts w:hint="eastAsia" w:ascii="仿宋" w:hAnsi="仿宋" w:eastAsia="仿宋" w:cs="仿宋"/>
          <w:color w:val="auto"/>
          <w:sz w:val="32"/>
          <w:szCs w:val="32"/>
          <w:highlight w:val="none"/>
        </w:rPr>
        <w:t>台（套）；单位价值</w:t>
      </w:r>
      <w:r>
        <w:rPr>
          <w:rFonts w:hint="eastAsia" w:ascii="仿宋" w:hAnsi="仿宋" w:eastAsia="仿宋" w:cs="仿宋"/>
          <w:color w:val="auto"/>
          <w:sz w:val="32"/>
          <w:szCs w:val="32"/>
          <w:highlight w:val="none"/>
          <w:lang w:val="en-US" w:eastAsia="zh-CN"/>
        </w:rPr>
        <w:t>100万</w:t>
      </w:r>
      <w:r>
        <w:rPr>
          <w:rFonts w:hint="eastAsia" w:ascii="仿宋" w:hAnsi="仿宋" w:eastAsia="仿宋" w:cs="仿宋"/>
          <w:color w:val="auto"/>
          <w:sz w:val="32"/>
          <w:szCs w:val="32"/>
          <w:highlight w:val="none"/>
        </w:rPr>
        <w:t>元以上专用设备</w:t>
      </w:r>
      <w:r>
        <w:rPr>
          <w:rFonts w:ascii="仿宋" w:hAnsi="仿宋" w:eastAsia="仿宋" w:cs="仿宋"/>
          <w:color w:val="auto"/>
          <w:sz w:val="32"/>
          <w:szCs w:val="32"/>
          <w:highlight w:val="none"/>
        </w:rPr>
        <w:t>0</w:t>
      </w:r>
      <w:r>
        <w:rPr>
          <w:rFonts w:hint="eastAsia" w:ascii="仿宋" w:hAnsi="仿宋" w:eastAsia="仿宋" w:cs="仿宋"/>
          <w:color w:val="auto"/>
          <w:sz w:val="32"/>
          <w:szCs w:val="32"/>
          <w:highlight w:val="none"/>
        </w:rPr>
        <w:t>台（套）。</w:t>
      </w:r>
    </w:p>
    <w:p>
      <w:pPr>
        <w:jc w:val="left"/>
        <w:rPr>
          <w:rFonts w:ascii="仿宋" w:hAnsi="仿宋" w:eastAsia="仿宋" w:cs="仿宋"/>
          <w:color w:val="auto"/>
          <w:sz w:val="32"/>
          <w:szCs w:val="32"/>
          <w:highlight w:val="none"/>
        </w:rPr>
      </w:pPr>
      <w:r>
        <w:rPr>
          <w:rFonts w:hint="eastAsia" w:ascii="黑体" w:hAnsi="黑体" w:eastAsia="黑体" w:cs="黑体"/>
          <w:color w:val="auto"/>
          <w:sz w:val="32"/>
          <w:szCs w:val="32"/>
          <w:highlight w:val="none"/>
        </w:rPr>
        <w:t>（四）预算绩效管理工作开展情况</w:t>
      </w:r>
    </w:p>
    <w:p>
      <w:pPr>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1.绩效管理工作开展情况</w:t>
      </w:r>
    </w:p>
    <w:p>
      <w:pPr>
        <w:keepNext w:val="0"/>
        <w:keepLines w:val="0"/>
        <w:widowControl w:val="0"/>
        <w:suppressLineNumbers w:val="0"/>
        <w:autoSpaceDE w:val="0"/>
        <w:autoSpaceDN w:val="0"/>
        <w:adjustRightInd w:val="0"/>
        <w:spacing w:before="0" w:beforeAutospacing="0" w:after="0" w:afterAutospacing="0" w:line="560" w:lineRule="exact"/>
        <w:ind w:left="0" w:right="0" w:firstLine="640" w:firstLineChars="200"/>
        <w:jc w:val="left"/>
        <w:rPr>
          <w:rFonts w:hint="default" w:ascii="仿宋_GB2312" w:hAnsi="Times New Roman" w:eastAsia="仿宋_GB2312" w:cs="仿宋_GB2312"/>
          <w:color w:val="auto"/>
          <w:kern w:val="0"/>
          <w:sz w:val="32"/>
          <w:szCs w:val="32"/>
        </w:rPr>
      </w:pPr>
      <w:r>
        <w:rPr>
          <w:rFonts w:hint="default" w:ascii="仿宋_GB2312" w:hAnsi="Times New Roman" w:eastAsia="仿宋_GB2312" w:cs="仿宋_GB2312"/>
          <w:color w:val="auto"/>
          <w:kern w:val="0"/>
          <w:sz w:val="32"/>
          <w:szCs w:val="32"/>
          <w:lang w:val="en-US" w:eastAsia="zh-CN" w:bidi="ar"/>
        </w:rPr>
        <w:t>根据财政预算管理要求，本部门组织对2022年度预算项目支出全面开展绩效自评。2022年共开展预算项目自评</w:t>
      </w:r>
      <w:r>
        <w:rPr>
          <w:rFonts w:hint="eastAsia" w:ascii="仿宋_GB2312" w:hAnsi="Times New Roman" w:eastAsia="仿宋_GB2312" w:cs="仿宋_GB2312"/>
          <w:color w:val="auto"/>
          <w:kern w:val="0"/>
          <w:sz w:val="32"/>
          <w:szCs w:val="32"/>
          <w:lang w:val="en-US" w:eastAsia="zh-CN" w:bidi="ar"/>
        </w:rPr>
        <w:t>68</w:t>
      </w:r>
      <w:r>
        <w:rPr>
          <w:rFonts w:hint="default" w:ascii="仿宋_GB2312" w:hAnsi="Times New Roman" w:eastAsia="仿宋_GB2312" w:cs="仿宋_GB2312"/>
          <w:color w:val="auto"/>
          <w:kern w:val="0"/>
          <w:sz w:val="32"/>
          <w:szCs w:val="32"/>
          <w:lang w:val="en-US" w:eastAsia="zh-CN" w:bidi="ar"/>
        </w:rPr>
        <w:t>个,共涉及资金</w:t>
      </w:r>
      <w:r>
        <w:rPr>
          <w:rFonts w:hint="eastAsia" w:ascii="仿宋_GB2312" w:hAnsi="仿宋_GB2312" w:eastAsia="仿宋_GB2312" w:cs="Times New Roman"/>
          <w:color w:val="auto"/>
          <w:sz w:val="32"/>
          <w:szCs w:val="32"/>
          <w:lang w:val="en-US" w:eastAsia="zh-CN"/>
        </w:rPr>
        <w:t>6568.12</w:t>
      </w:r>
      <w:r>
        <w:rPr>
          <w:rFonts w:hint="default" w:ascii="仿宋_GB2312" w:hAnsi="Times New Roman" w:eastAsia="仿宋_GB2312" w:cs="仿宋_GB2312"/>
          <w:color w:val="auto"/>
          <w:kern w:val="0"/>
          <w:sz w:val="32"/>
          <w:szCs w:val="32"/>
          <w:lang w:val="en-US" w:eastAsia="zh-CN" w:bidi="ar"/>
        </w:rPr>
        <w:t>万元,自评覆盖率达到</w:t>
      </w:r>
      <w:r>
        <w:rPr>
          <w:rFonts w:hint="eastAsia" w:ascii="仿宋_GB2312" w:hAnsi="Times New Roman" w:eastAsia="仿宋_GB2312" w:cs="仿宋_GB2312"/>
          <w:color w:val="auto"/>
          <w:kern w:val="0"/>
          <w:sz w:val="32"/>
          <w:szCs w:val="32"/>
          <w:lang w:val="en-US" w:eastAsia="zh-CN" w:bidi="ar"/>
        </w:rPr>
        <w:t>100</w:t>
      </w:r>
      <w:r>
        <w:rPr>
          <w:rFonts w:hint="default" w:ascii="仿宋_GB2312" w:hAnsi="Times New Roman" w:eastAsia="仿宋_GB2312" w:cs="仿宋_GB2312"/>
          <w:color w:val="auto"/>
          <w:kern w:val="0"/>
          <w:sz w:val="32"/>
          <w:szCs w:val="32"/>
          <w:lang w:val="en-US" w:eastAsia="zh-CN" w:bidi="ar"/>
        </w:rPr>
        <w:t>%。</w:t>
      </w:r>
    </w:p>
    <w:p>
      <w:pPr>
        <w:keepNext w:val="0"/>
        <w:keepLines w:val="0"/>
        <w:widowControl w:val="0"/>
        <w:suppressLineNumbers w:val="0"/>
        <w:autoSpaceDE w:val="0"/>
        <w:autoSpaceDN w:val="0"/>
        <w:adjustRightInd w:val="0"/>
        <w:spacing w:before="0" w:beforeAutospacing="0" w:after="0" w:afterAutospacing="0" w:line="560" w:lineRule="exact"/>
        <w:ind w:left="0" w:right="0" w:firstLine="640" w:firstLineChars="200"/>
        <w:jc w:val="left"/>
        <w:rPr>
          <w:rFonts w:hint="default" w:ascii="仿宋_GB2312" w:hAnsi="Times New Roman" w:eastAsia="仿宋_GB2312" w:cs="仿宋_GB2312"/>
          <w:color w:val="auto"/>
          <w:kern w:val="0"/>
          <w:sz w:val="32"/>
          <w:szCs w:val="32"/>
          <w:lang w:val="en-US" w:eastAsia="zh-CN" w:bidi="ar"/>
        </w:rPr>
      </w:pPr>
      <w:r>
        <w:rPr>
          <w:rFonts w:hint="default" w:ascii="仿宋_GB2312" w:hAnsi="Times New Roman" w:eastAsia="仿宋_GB2312" w:cs="仿宋_GB2312"/>
          <w:color w:val="auto"/>
          <w:kern w:val="0"/>
          <w:sz w:val="32"/>
          <w:szCs w:val="32"/>
          <w:lang w:val="en-US" w:eastAsia="zh-CN" w:bidi="ar"/>
        </w:rPr>
        <w:t>共组织对“节能减排业务专项经费”等</w:t>
      </w:r>
      <w:r>
        <w:rPr>
          <w:rFonts w:hint="eastAsia" w:ascii="仿宋_GB2312" w:hAnsi="Times New Roman" w:eastAsia="仿宋_GB2312" w:cs="仿宋_GB2312"/>
          <w:color w:val="auto"/>
          <w:kern w:val="0"/>
          <w:sz w:val="32"/>
          <w:szCs w:val="32"/>
          <w:lang w:val="en-US" w:eastAsia="zh-CN" w:bidi="ar"/>
        </w:rPr>
        <w:t>29</w:t>
      </w:r>
      <w:r>
        <w:rPr>
          <w:rFonts w:hint="default" w:ascii="仿宋_GB2312" w:hAnsi="Times New Roman" w:eastAsia="仿宋_GB2312" w:cs="仿宋_GB2312"/>
          <w:color w:val="auto"/>
          <w:kern w:val="0"/>
          <w:sz w:val="32"/>
          <w:szCs w:val="32"/>
          <w:lang w:val="en-US" w:eastAsia="zh-CN" w:bidi="ar"/>
        </w:rPr>
        <w:t>个项目进行了绩效评价，涉及预算支出</w:t>
      </w:r>
      <w:r>
        <w:rPr>
          <w:rFonts w:hint="eastAsia" w:ascii="仿宋_GB2312" w:hAnsi="Times New Roman" w:eastAsia="仿宋_GB2312" w:cs="仿宋_GB2312"/>
          <w:color w:val="auto"/>
          <w:kern w:val="0"/>
          <w:sz w:val="32"/>
          <w:szCs w:val="32"/>
          <w:lang w:val="en-US" w:eastAsia="zh-CN" w:bidi="ar"/>
        </w:rPr>
        <w:t>3434.03</w:t>
      </w:r>
      <w:r>
        <w:rPr>
          <w:rFonts w:hint="default" w:ascii="仿宋_GB2312" w:hAnsi="Times New Roman" w:eastAsia="仿宋_GB2312" w:cs="仿宋_GB2312"/>
          <w:color w:val="auto"/>
          <w:kern w:val="0"/>
          <w:sz w:val="32"/>
          <w:szCs w:val="32"/>
          <w:lang w:val="en-US" w:eastAsia="zh-CN" w:bidi="ar"/>
        </w:rPr>
        <w:t>万元。</w:t>
      </w:r>
      <w:r>
        <w:rPr>
          <w:rFonts w:hint="default" w:ascii="仿宋_GB2312" w:hAnsi="Times New Roman" w:eastAsia="仿宋_GB2312" w:cs="仿宋_GB2312"/>
          <w:color w:val="auto"/>
          <w:kern w:val="0"/>
          <w:sz w:val="32"/>
          <w:szCs w:val="32"/>
          <w:lang w:val="en-US" w:eastAsia="zh-CN" w:bidi="ar"/>
        </w:rPr>
        <w:t>从评价情况来看，1、围绕部门职责、行业发展规划，以预算资金管理为主线，统筹考虑资产和业务活动，从运行成本、管理效率、履职效能、社会效应、可持续发展能力和服务对象满意度等方面确定2022年部门总体目标、部门年度目标、部门工作任务绩效目标，确保设定绩效目标实现业务工作和资金需求相融合。</w:t>
      </w:r>
    </w:p>
    <w:p>
      <w:pPr>
        <w:keepNext w:val="0"/>
        <w:keepLines w:val="0"/>
        <w:widowControl w:val="0"/>
        <w:suppressLineNumbers w:val="0"/>
        <w:autoSpaceDE w:val="0"/>
        <w:autoSpaceDN w:val="0"/>
        <w:adjustRightInd w:val="0"/>
        <w:spacing w:before="0" w:beforeAutospacing="0" w:after="0" w:afterAutospacing="0" w:line="560" w:lineRule="exact"/>
        <w:ind w:left="0" w:right="0" w:firstLine="640" w:firstLineChars="200"/>
        <w:jc w:val="left"/>
        <w:rPr>
          <w:rFonts w:hint="default" w:ascii="仿宋_GB2312" w:hAnsi="Times New Roman" w:eastAsia="仿宋_GB2312" w:cs="仿宋_GB2312"/>
          <w:color w:val="auto"/>
          <w:kern w:val="0"/>
          <w:sz w:val="32"/>
          <w:szCs w:val="32"/>
          <w:lang w:val="en-US" w:eastAsia="zh-CN" w:bidi="ar"/>
        </w:rPr>
      </w:pPr>
      <w:r>
        <w:rPr>
          <w:rFonts w:hint="default" w:ascii="仿宋_GB2312" w:hAnsi="Times New Roman" w:eastAsia="仿宋_GB2312" w:cs="仿宋_GB2312"/>
          <w:color w:val="auto"/>
          <w:kern w:val="0"/>
          <w:sz w:val="32"/>
          <w:szCs w:val="32"/>
          <w:lang w:val="en-US" w:eastAsia="zh-CN" w:bidi="ar"/>
        </w:rPr>
        <w:t>2、进一步完善细化绩效目标及指标。在2022年预算编制的基础上围绕部门职责、行业发展规划，以预算资金管理为主线，统筹考虑资产和业务活动，从运行成本、管理效率、履职效能、社会效应、可持续发展能力和服务对象满意度等方面对2022年部门总体目标、部门年度目标、部门工作任务绩效目标进行细化、完善、归纳、整理进一步细化完善，力争做到科学合理、切实可行。</w:t>
      </w:r>
    </w:p>
    <w:p>
      <w:pPr>
        <w:keepNext w:val="0"/>
        <w:keepLines w:val="0"/>
        <w:widowControl w:val="0"/>
        <w:suppressLineNumbers w:val="0"/>
        <w:autoSpaceDE w:val="0"/>
        <w:autoSpaceDN w:val="0"/>
        <w:adjustRightInd w:val="0"/>
        <w:spacing w:before="0" w:beforeAutospacing="0" w:after="0" w:afterAutospacing="0" w:line="560" w:lineRule="exact"/>
        <w:ind w:left="0" w:right="0" w:firstLine="640" w:firstLineChars="200"/>
        <w:jc w:val="left"/>
        <w:rPr>
          <w:rFonts w:hint="default" w:ascii="仿宋_GB2312" w:hAnsi="Times New Roman" w:eastAsia="仿宋_GB2312" w:cs="仿宋_GB2312"/>
          <w:color w:val="auto"/>
          <w:kern w:val="0"/>
          <w:sz w:val="32"/>
          <w:szCs w:val="32"/>
          <w:lang w:val="en-US" w:eastAsia="zh-CN" w:bidi="ar"/>
        </w:rPr>
      </w:pPr>
      <w:r>
        <w:rPr>
          <w:rFonts w:hint="default" w:ascii="仿宋_GB2312" w:hAnsi="Times New Roman" w:eastAsia="仿宋_GB2312" w:cs="仿宋_GB2312"/>
          <w:color w:val="auto"/>
          <w:kern w:val="0"/>
          <w:sz w:val="32"/>
          <w:szCs w:val="32"/>
          <w:lang w:val="en-US" w:eastAsia="zh-CN" w:bidi="ar"/>
        </w:rPr>
        <w:t>3、对本级预算安排的所有项目资金的预算执行情况和绩效目标实现程度开展绩效自评。</w:t>
      </w:r>
    </w:p>
    <w:p>
      <w:pPr>
        <w:keepNext w:val="0"/>
        <w:keepLines w:val="0"/>
        <w:widowControl w:val="0"/>
        <w:suppressLineNumbers w:val="0"/>
        <w:autoSpaceDE w:val="0"/>
        <w:autoSpaceDN w:val="0"/>
        <w:adjustRightInd w:val="0"/>
        <w:spacing w:before="0" w:beforeAutospacing="0" w:after="0" w:afterAutospacing="0" w:line="560" w:lineRule="exact"/>
        <w:ind w:left="0" w:right="0" w:firstLine="640" w:firstLineChars="200"/>
        <w:jc w:val="left"/>
        <w:rPr>
          <w:rFonts w:hint="default" w:ascii="仿宋_GB2312" w:hAnsi="Times New Roman" w:eastAsia="仿宋_GB2312" w:cs="仿宋_GB2312"/>
          <w:color w:val="auto"/>
          <w:kern w:val="0"/>
          <w:sz w:val="32"/>
          <w:szCs w:val="32"/>
          <w:lang w:val="en-US" w:eastAsia="zh-CN" w:bidi="ar"/>
        </w:rPr>
      </w:pPr>
      <w:r>
        <w:rPr>
          <w:rFonts w:hint="default" w:ascii="仿宋_GB2312" w:hAnsi="Times New Roman" w:eastAsia="仿宋_GB2312" w:cs="仿宋_GB2312"/>
          <w:color w:val="auto"/>
          <w:kern w:val="0"/>
          <w:sz w:val="32"/>
          <w:szCs w:val="32"/>
          <w:lang w:val="en-US" w:eastAsia="zh-CN" w:bidi="ar"/>
        </w:rPr>
        <w:t>4、资料汇集组织开展绩效工作自评。对资金拨付文件和资金支付凭证、查阅了相关会计凭证、绩效目标完成情况、实地了解情况等相关基础资料收集，组织开展2022年预算绩效评价自评工作。</w:t>
      </w:r>
    </w:p>
    <w:p>
      <w:pPr>
        <w:keepNext w:val="0"/>
        <w:keepLines w:val="0"/>
        <w:widowControl w:val="0"/>
        <w:suppressLineNumbers w:val="0"/>
        <w:autoSpaceDE w:val="0"/>
        <w:autoSpaceDN w:val="0"/>
        <w:adjustRightInd w:val="0"/>
        <w:spacing w:before="0" w:beforeAutospacing="0" w:after="0" w:afterAutospacing="0" w:line="560" w:lineRule="exact"/>
        <w:ind w:left="0" w:right="0" w:firstLine="640" w:firstLineChars="200"/>
        <w:jc w:val="left"/>
        <w:rPr>
          <w:rFonts w:hint="default" w:ascii="仿宋_GB2312" w:hAnsi="Times New Roman" w:eastAsia="仿宋_GB2312" w:cs="仿宋_GB2312"/>
          <w:color w:val="auto"/>
          <w:kern w:val="0"/>
          <w:sz w:val="32"/>
          <w:szCs w:val="32"/>
          <w:lang w:val="en-US" w:eastAsia="zh-CN" w:bidi="ar"/>
        </w:rPr>
      </w:pPr>
      <w:r>
        <w:rPr>
          <w:rFonts w:hint="default" w:ascii="仿宋_GB2312" w:hAnsi="Times New Roman" w:eastAsia="仿宋_GB2312" w:cs="仿宋_GB2312"/>
          <w:color w:val="auto"/>
          <w:kern w:val="0"/>
          <w:sz w:val="32"/>
          <w:szCs w:val="32"/>
          <w:lang w:val="en-US" w:eastAsia="zh-CN" w:bidi="ar"/>
        </w:rPr>
        <w:t>5、强化自评结果应用提高资金效益。</w:t>
      </w:r>
    </w:p>
    <w:p>
      <w:pPr>
        <w:keepNext w:val="0"/>
        <w:keepLines w:val="0"/>
        <w:widowControl w:val="0"/>
        <w:suppressLineNumbers w:val="0"/>
        <w:autoSpaceDE w:val="0"/>
        <w:autoSpaceDN w:val="0"/>
        <w:adjustRightInd w:val="0"/>
        <w:spacing w:before="0" w:beforeAutospacing="0" w:after="0" w:afterAutospacing="0" w:line="560" w:lineRule="exact"/>
        <w:ind w:left="0" w:right="0" w:firstLine="640" w:firstLineChars="200"/>
        <w:jc w:val="left"/>
        <w:rPr>
          <w:rFonts w:hint="default" w:ascii="仿宋_GB2312" w:hAnsi="Times New Roman" w:eastAsia="仿宋_GB2312" w:cs="仿宋_GB2312"/>
          <w:color w:val="auto"/>
          <w:kern w:val="0"/>
          <w:sz w:val="32"/>
          <w:szCs w:val="32"/>
          <w:lang w:val="en-US" w:eastAsia="zh-CN" w:bidi="ar"/>
        </w:rPr>
      </w:pPr>
      <w:r>
        <w:rPr>
          <w:rFonts w:hint="default" w:ascii="仿宋_GB2312" w:hAnsi="Times New Roman" w:eastAsia="仿宋_GB2312" w:cs="仿宋_GB2312"/>
          <w:color w:val="auto"/>
          <w:kern w:val="0"/>
          <w:sz w:val="32"/>
          <w:szCs w:val="32"/>
          <w:lang w:val="en-US" w:eastAsia="zh-CN" w:bidi="ar"/>
        </w:rPr>
        <w:t>组织对本部门开展整体支出绩效自评，涉及一般公共预算支出5,124.82万元。</w:t>
      </w:r>
      <w:r>
        <w:rPr>
          <w:rFonts w:hint="default" w:ascii="仿宋_GB2312" w:hAnsi="Times New Roman" w:eastAsia="仿宋_GB2312" w:cs="仿宋_GB2312"/>
          <w:color w:val="auto"/>
          <w:kern w:val="0"/>
          <w:sz w:val="32"/>
          <w:szCs w:val="32"/>
          <w:lang w:val="en-US" w:eastAsia="zh-CN" w:bidi="ar"/>
        </w:rPr>
        <w:t>从评价情况来看，1、部门整体支出绩效综合评价结论。结合绩效指标完成情况及部门绩效目标实现的综合分析，部门整体支出绩效综合评价各项指标项基本达到指标要求，部门整体支出绩效管理达到预期效果，自评得分93.97分。</w:t>
      </w:r>
    </w:p>
    <w:p>
      <w:pPr>
        <w:keepNext w:val="0"/>
        <w:keepLines w:val="0"/>
        <w:widowControl w:val="0"/>
        <w:suppressLineNumbers w:val="0"/>
        <w:autoSpaceDE w:val="0"/>
        <w:autoSpaceDN w:val="0"/>
        <w:adjustRightInd w:val="0"/>
        <w:spacing w:before="0" w:beforeAutospacing="0" w:after="0" w:afterAutospacing="0" w:line="560" w:lineRule="exact"/>
        <w:ind w:left="0" w:right="0" w:firstLine="640" w:firstLineChars="200"/>
        <w:jc w:val="left"/>
        <w:rPr>
          <w:rFonts w:hint="default" w:ascii="仿宋_GB2312" w:hAnsi="Times New Roman" w:eastAsia="仿宋_GB2312" w:cs="仿宋_GB2312"/>
          <w:color w:val="auto"/>
          <w:kern w:val="0"/>
          <w:sz w:val="32"/>
          <w:szCs w:val="32"/>
          <w:lang w:val="en-US" w:eastAsia="zh-CN" w:bidi="ar"/>
        </w:rPr>
      </w:pPr>
      <w:r>
        <w:rPr>
          <w:rFonts w:hint="default" w:ascii="仿宋_GB2312" w:hAnsi="Times New Roman" w:eastAsia="仿宋_GB2312" w:cs="仿宋_GB2312"/>
          <w:color w:val="auto"/>
          <w:kern w:val="0"/>
          <w:sz w:val="32"/>
          <w:szCs w:val="32"/>
          <w:lang w:val="en-US" w:eastAsia="zh-CN" w:bidi="ar"/>
        </w:rPr>
        <w:t>2、部门整体支出绩效评价情况分析。目标设定合理。项目绩效目标设定科学、合理，目标明确、目标细化、目标量化。项目绩效目标设定是经过充分调查研究、论证和科学、合理测算，与部门年度的任务数或计划数相对应，与本年度部门预算资金相匹配。</w:t>
      </w:r>
    </w:p>
    <w:p>
      <w:pPr>
        <w:keepNext w:val="0"/>
        <w:keepLines w:val="0"/>
        <w:widowControl w:val="0"/>
        <w:suppressLineNumbers w:val="0"/>
        <w:autoSpaceDE w:val="0"/>
        <w:autoSpaceDN w:val="0"/>
        <w:adjustRightInd w:val="0"/>
        <w:spacing w:before="0" w:beforeAutospacing="0" w:after="0" w:afterAutospacing="0" w:line="560" w:lineRule="exact"/>
        <w:ind w:left="0" w:right="0" w:firstLine="640" w:firstLineChars="200"/>
        <w:jc w:val="left"/>
        <w:rPr>
          <w:rFonts w:hint="default" w:ascii="仿宋_GB2312" w:hAnsi="Times New Roman" w:eastAsia="仿宋_GB2312" w:cs="仿宋_GB2312"/>
          <w:color w:val="auto"/>
          <w:kern w:val="0"/>
          <w:sz w:val="32"/>
          <w:szCs w:val="32"/>
          <w:lang w:val="en-US" w:eastAsia="zh-CN" w:bidi="ar"/>
        </w:rPr>
      </w:pPr>
      <w:r>
        <w:rPr>
          <w:rFonts w:hint="default" w:ascii="仿宋_GB2312" w:hAnsi="Times New Roman" w:eastAsia="仿宋_GB2312" w:cs="仿宋_GB2312"/>
          <w:color w:val="auto"/>
          <w:kern w:val="0"/>
          <w:sz w:val="32"/>
          <w:szCs w:val="32"/>
          <w:lang w:val="en-US" w:eastAsia="zh-CN" w:bidi="ar"/>
        </w:rPr>
        <w:t>3、过程情况分析。绩效管理合规。一是管理制度健全，已制定内部财务管理制度，制度合法、合规、完整，制度得到有效执行。二是组织机构健全、职责明确，严格按照管理制度的实施要求、质量要求、实施计划等有序组织开展绩效管理工作。三是资料、信息报送、预决算信息公开及时完整，按照绩效评价通知要求及时收集、整理、分析与部门整体阶段性资金支出及绩效目标完成相关的数据、信息并上报、预决算及时公开。四是资产管理使用规范有效，资产管理规范、管理制度健全完整，资产保存完整、使用合规、配置合理、处置规范、收入及时足额上缴，固定资产利用率达95%以上。</w:t>
      </w:r>
    </w:p>
    <w:p>
      <w:pPr>
        <w:keepNext w:val="0"/>
        <w:keepLines w:val="0"/>
        <w:widowControl w:val="0"/>
        <w:suppressLineNumbers w:val="0"/>
        <w:autoSpaceDE w:val="0"/>
        <w:autoSpaceDN w:val="0"/>
        <w:adjustRightInd w:val="0"/>
        <w:spacing w:before="0" w:beforeAutospacing="0" w:after="0" w:afterAutospacing="0" w:line="560" w:lineRule="exact"/>
        <w:ind w:left="0" w:right="0" w:firstLine="640" w:firstLineChars="200"/>
        <w:jc w:val="left"/>
        <w:rPr>
          <w:rFonts w:hint="default" w:ascii="仿宋_GB2312" w:hAnsi="Times New Roman" w:eastAsia="仿宋_GB2312" w:cs="仿宋_GB2312"/>
          <w:color w:val="auto"/>
          <w:kern w:val="0"/>
          <w:sz w:val="32"/>
          <w:szCs w:val="32"/>
          <w:lang w:val="en-US" w:eastAsia="zh-CN" w:bidi="ar"/>
        </w:rPr>
      </w:pPr>
      <w:r>
        <w:rPr>
          <w:rFonts w:hint="default" w:ascii="仿宋_GB2312" w:hAnsi="Times New Roman" w:eastAsia="仿宋_GB2312" w:cs="仿宋_GB2312"/>
          <w:color w:val="auto"/>
          <w:kern w:val="0"/>
          <w:sz w:val="32"/>
          <w:szCs w:val="32"/>
          <w:lang w:val="en-US" w:eastAsia="zh-CN" w:bidi="ar"/>
        </w:rPr>
        <w:t>4、产出情况分析。2022年我局履职良好，年初设定的产出绩效指标实际执行情况基本达到预期值。一是各项重点工作任务办结率100%。二是年初设定的项目产出绩效指标均达到预期值，绩效指标完成率90%。</w:t>
      </w:r>
    </w:p>
    <w:p>
      <w:pPr>
        <w:keepNext w:val="0"/>
        <w:keepLines w:val="0"/>
        <w:widowControl w:val="0"/>
        <w:suppressLineNumbers w:val="0"/>
        <w:autoSpaceDE w:val="0"/>
        <w:autoSpaceDN w:val="0"/>
        <w:adjustRightInd w:val="0"/>
        <w:spacing w:before="0" w:beforeAutospacing="0" w:after="0" w:afterAutospacing="0" w:line="560" w:lineRule="exact"/>
        <w:ind w:left="0" w:right="0" w:firstLine="640" w:firstLineChars="200"/>
        <w:jc w:val="left"/>
        <w:rPr>
          <w:rFonts w:hint="default" w:ascii="仿宋_GB2312" w:hAnsi="Times New Roman" w:eastAsia="仿宋_GB2312" w:cs="仿宋_GB2312"/>
          <w:color w:val="auto"/>
          <w:kern w:val="0"/>
          <w:sz w:val="32"/>
          <w:szCs w:val="32"/>
        </w:rPr>
      </w:pPr>
      <w:r>
        <w:rPr>
          <w:rFonts w:hint="default" w:ascii="仿宋_GB2312" w:hAnsi="Times New Roman" w:eastAsia="仿宋_GB2312" w:cs="仿宋_GB2312"/>
          <w:color w:val="auto"/>
          <w:kern w:val="0"/>
          <w:sz w:val="32"/>
          <w:szCs w:val="32"/>
          <w:lang w:val="en-US" w:eastAsia="zh-CN" w:bidi="ar"/>
        </w:rPr>
        <w:t>5、效果情况分析。履职效果明显。社会效益指标和社会公众或服务对象满意度指标均达到预期效果。</w:t>
      </w:r>
    </w:p>
    <w:p>
      <w:pPr>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2.部门决算中项目绩效自评结果</w:t>
      </w:r>
    </w:p>
    <w:p>
      <w:pPr>
        <w:ind w:firstLine="640" w:firstLineChars="200"/>
        <w:jc w:val="left"/>
        <w:rPr>
          <w:rFonts w:hint="eastAsia" w:ascii="仿宋" w:hAnsi="仿宋" w:eastAsia="仿宋" w:cs="仿宋"/>
          <w:color w:val="auto"/>
          <w:kern w:val="2"/>
          <w:sz w:val="32"/>
          <w:szCs w:val="32"/>
          <w:highlight w:val="none"/>
          <w:lang w:val="en-US" w:eastAsia="zh-CN" w:bidi="ar"/>
        </w:rPr>
      </w:pPr>
      <w:r>
        <w:rPr>
          <w:rFonts w:hint="eastAsia" w:ascii="仿宋" w:hAnsi="仿宋" w:eastAsia="仿宋" w:cs="仿宋"/>
          <w:color w:val="auto"/>
          <w:sz w:val="32"/>
          <w:szCs w:val="32"/>
          <w:highlight w:val="none"/>
        </w:rPr>
        <w:t>我部门根据年初设定的绩效目标，</w:t>
      </w:r>
      <w:r>
        <w:rPr>
          <w:rFonts w:hint="eastAsia" w:ascii="仿宋" w:hAnsi="仿宋" w:eastAsia="仿宋" w:cs="仿宋"/>
          <w:color w:val="auto"/>
          <w:sz w:val="32"/>
          <w:szCs w:val="32"/>
          <w:highlight w:val="none"/>
          <w:lang w:val="en-US" w:eastAsia="zh-CN"/>
        </w:rPr>
        <w:t>68个</w:t>
      </w:r>
      <w:r>
        <w:rPr>
          <w:rFonts w:hint="eastAsia" w:ascii="仿宋" w:hAnsi="仿宋" w:eastAsia="仿宋" w:cs="仿宋"/>
          <w:color w:val="auto"/>
          <w:sz w:val="32"/>
          <w:szCs w:val="32"/>
          <w:highlight w:val="none"/>
        </w:rPr>
        <w:t>项目自评</w:t>
      </w:r>
      <w:r>
        <w:rPr>
          <w:rFonts w:hint="eastAsia" w:ascii="仿宋" w:hAnsi="仿宋" w:eastAsia="仿宋" w:cs="仿宋"/>
          <w:color w:val="auto"/>
          <w:sz w:val="32"/>
          <w:szCs w:val="32"/>
          <w:highlight w:val="none"/>
        </w:rPr>
        <w:t>得分为</w:t>
      </w:r>
      <w:r>
        <w:rPr>
          <w:rFonts w:hint="eastAsia" w:ascii="仿宋" w:hAnsi="仿宋" w:eastAsia="仿宋" w:cs="仿宋"/>
          <w:color w:val="auto"/>
          <w:sz w:val="32"/>
          <w:szCs w:val="32"/>
          <w:highlight w:val="none"/>
          <w:lang w:val="en-US" w:eastAsia="zh-CN"/>
        </w:rPr>
        <w:t>85</w:t>
      </w:r>
      <w:r>
        <w:rPr>
          <w:rFonts w:hint="eastAsia" w:ascii="仿宋" w:hAnsi="仿宋" w:eastAsia="仿宋" w:cs="仿宋"/>
          <w:color w:val="auto"/>
          <w:sz w:val="32"/>
          <w:szCs w:val="32"/>
          <w:highlight w:val="none"/>
        </w:rPr>
        <w:t>分</w:t>
      </w:r>
      <w:r>
        <w:rPr>
          <w:rFonts w:hint="eastAsia" w:ascii="仿宋" w:hAnsi="仿宋" w:eastAsia="仿宋" w:cs="仿宋"/>
          <w:color w:val="auto"/>
          <w:sz w:val="32"/>
          <w:szCs w:val="32"/>
          <w:highlight w:val="none"/>
        </w:rPr>
        <w:t>，项目全年预算数为</w:t>
      </w:r>
      <w:r>
        <w:rPr>
          <w:rFonts w:hint="eastAsia" w:ascii="仿宋_GB2312" w:hAnsi="仿宋_GB2312" w:eastAsia="仿宋_GB2312" w:cs="Times New Roman"/>
          <w:color w:val="auto"/>
          <w:sz w:val="32"/>
          <w:szCs w:val="32"/>
          <w:lang w:val="en-US" w:eastAsia="zh-CN"/>
        </w:rPr>
        <w:t>8174.65</w:t>
      </w:r>
      <w:r>
        <w:rPr>
          <w:rFonts w:hint="eastAsia" w:ascii="仿宋" w:hAnsi="仿宋" w:eastAsia="仿宋" w:cs="仿宋"/>
          <w:color w:val="auto"/>
          <w:sz w:val="32"/>
          <w:szCs w:val="32"/>
          <w:highlight w:val="none"/>
        </w:rPr>
        <w:t>万元，执行数为</w:t>
      </w:r>
      <w:r>
        <w:rPr>
          <w:rFonts w:hint="eastAsia" w:ascii="仿宋_GB2312" w:hAnsi="仿宋_GB2312" w:eastAsia="仿宋_GB2312" w:cs="Times New Roman"/>
          <w:color w:val="auto"/>
          <w:sz w:val="32"/>
          <w:szCs w:val="32"/>
          <w:lang w:val="en-US" w:eastAsia="zh-CN"/>
        </w:rPr>
        <w:t>5124.82</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rPr>
        <w:t>，完成预算的</w:t>
      </w:r>
      <w:r>
        <w:rPr>
          <w:rFonts w:hint="eastAsia" w:ascii="仿宋_GB2312" w:hAnsi="仿宋_GB2312" w:eastAsia="仿宋_GB2312" w:cs="Times New Roman"/>
          <w:color w:val="auto"/>
          <w:sz w:val="32"/>
          <w:szCs w:val="32"/>
          <w:lang w:val="en-US" w:eastAsia="zh-CN"/>
        </w:rPr>
        <w:t>63</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rPr>
        <w:t>发现的主要问题及原因：</w:t>
      </w:r>
      <w:r>
        <w:rPr>
          <w:rFonts w:hint="eastAsia" w:ascii="仿宋" w:hAnsi="仿宋" w:eastAsia="仿宋" w:cs="仿宋"/>
          <w:color w:val="auto"/>
          <w:kern w:val="2"/>
          <w:sz w:val="32"/>
          <w:szCs w:val="32"/>
          <w:highlight w:val="none"/>
          <w:lang w:val="en-US" w:eastAsia="zh-CN" w:bidi="ar"/>
        </w:rPr>
        <w:t>请根据本单位实际情况情况自行补充完善。下一步改进措施：1、科学合理编制预算，严格执行预算。要按照《预算法》及其实施条例的相关规定，参考上一年的预算执行情况和年度的收支预测、部门重点工作等科学编制预算，避免年中大幅追加以及超预算。同时严格预算执行，提高资金使用效率。</w:t>
      </w:r>
    </w:p>
    <w:p>
      <w:pPr>
        <w:ind w:firstLine="640" w:firstLineChars="200"/>
        <w:jc w:val="left"/>
        <w:rPr>
          <w:rFonts w:hint="eastAsia" w:ascii="仿宋" w:hAnsi="仿宋" w:eastAsia="仿宋" w:cs="仿宋"/>
          <w:color w:val="auto"/>
          <w:kern w:val="2"/>
          <w:sz w:val="32"/>
          <w:szCs w:val="32"/>
          <w:highlight w:val="none"/>
          <w:lang w:val="en-US" w:eastAsia="zh-CN" w:bidi="ar"/>
        </w:rPr>
      </w:pPr>
      <w:r>
        <w:rPr>
          <w:rFonts w:hint="eastAsia" w:ascii="仿宋" w:hAnsi="仿宋" w:eastAsia="仿宋" w:cs="仿宋"/>
          <w:color w:val="auto"/>
          <w:kern w:val="2"/>
          <w:sz w:val="32"/>
          <w:szCs w:val="32"/>
          <w:highlight w:val="none"/>
          <w:lang w:val="en-US" w:eastAsia="zh-CN" w:bidi="ar"/>
        </w:rPr>
        <w:t>2、加强单位内控制度建设，完善相关内部管理制度。通过查找内部管理中的薄弱环节，建立健全各项内部控制制度，更好地发挥内部控制在提升单位内部治理水平、规范内部权力运行、促进依法行政、推进廉政建设中的重要作用。一是加强组织领导。要加强对项目工作的全面领导，便于及时发现项目运行过程中出现的问题并加以改进。二是专款专用。严格按项目规范要求，做到专款专用，确保项目工作顺利开展。三是加强监督。加强对日常工作加强规范和监督。</w:t>
      </w:r>
    </w:p>
    <w:p>
      <w:pPr>
        <w:jc w:val="left"/>
        <w:rPr>
          <w:rFonts w:hint="eastAsia" w:ascii="仿宋" w:hAnsi="仿宋" w:eastAsia="仿宋" w:cs="仿宋"/>
          <w:color w:val="auto"/>
          <w:sz w:val="32"/>
          <w:szCs w:val="32"/>
          <w:highlight w:val="none"/>
        </w:rPr>
      </w:pPr>
    </w:p>
    <w:p>
      <w:pPr>
        <w:jc w:val="center"/>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第四部分  名词解释</w:t>
      </w:r>
    </w:p>
    <w:p>
      <w:pPr>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一、财政拨款收入：指</w:t>
      </w:r>
      <w:r>
        <w:rPr>
          <w:rFonts w:ascii="仿宋" w:hAnsi="仿宋" w:eastAsia="仿宋" w:cs="仿宋"/>
          <w:color w:val="auto"/>
          <w:sz w:val="32"/>
          <w:u w:color="auto"/>
        </w:rPr>
        <w:t>河池市财政部门当年拨付的资金。</w:t>
      </w:r>
    </w:p>
    <w:p>
      <w:pPr>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二、事业收入：指事业单位开展专业业务活动及辅助活动所取得的收入。</w:t>
      </w:r>
    </w:p>
    <w:p>
      <w:pPr>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三、经营收入：指事业单位在专业业务活动及其辅助活动之外开展非独立核算经营活动取得的收入。</w:t>
      </w:r>
    </w:p>
    <w:p>
      <w:pPr>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四、其他收入：指除上述“财政拨款收入”“事业收入”“经营收入”等以外的收入。</w:t>
      </w:r>
    </w:p>
    <w:p>
      <w:pPr>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五、用事业基金弥补收支差额指事业单位在当年的“财政拨款收入”“事业收入”“经营收入”“其他收入”不足以安排当年支出的情况下，使用非财政拨款结余弥补本年度收支缺口的资金。 </w:t>
      </w:r>
    </w:p>
    <w:p>
      <w:pPr>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六、年初结转和结余：指以前年度尚未完成、结转到本年 按有关规定继续使用的资金。 </w:t>
      </w:r>
    </w:p>
    <w:p>
      <w:pPr>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七、结余分配：指事业单位按规定提取的职工福利基金、事业基金和缴纳的所得税，以及建设单位按规定应交回的基本建设竣工项目结余资金。 </w:t>
      </w:r>
    </w:p>
    <w:p>
      <w:pPr>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八、年末结转和结余：指本年度或以前年度预算安排、因客观条件发生变化无法按原计划实施，需要延迟到以后年度按有关规定继续使用的资金。 </w:t>
      </w:r>
    </w:p>
    <w:p>
      <w:pPr>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九、基本支出：指为保障机构正常运转、完成日常工作任务而发生的人员支出和公用支出。 </w:t>
      </w:r>
    </w:p>
    <w:p>
      <w:pPr>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十、项目支出：指在基本支出之外为完成特定行政任务和事业发展目标所发生的支出。 </w:t>
      </w:r>
    </w:p>
    <w:p>
      <w:pPr>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十一、经营支出：指事业单位在专业业务活动及其辅助活动之外开展非独立核算经营活动发生的支出。</w:t>
      </w:r>
    </w:p>
    <w:p>
      <w:pPr>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十二、“三公”经费：纳入</w:t>
      </w:r>
      <w:r>
        <w:rPr>
          <w:rFonts w:ascii="仿宋" w:hAnsi="仿宋" w:eastAsia="仿宋" w:cs="仿宋"/>
          <w:color w:val="auto"/>
          <w:sz w:val="32"/>
          <w:u w:color="auto"/>
        </w:rPr>
        <w:t>河池市财政预决算管理的“三公”经费，是指自治区本级各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 </w:t>
      </w:r>
    </w:p>
    <w:p>
      <w:pPr>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sectPr>
      <w:pgSz w:w="11906" w:h="16838"/>
      <w:pgMar w:top="1440" w:right="1800" w:bottom="1440" w:left="1800" w:header="851" w:footer="992" w:gutter="0"/>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仿宋_GB2312">
    <w:panose1 w:val="02010609030101010101"/>
    <w:charset w:val="86"/>
    <w:family w:val="decorative"/>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F86D39"/>
    <w:multiLevelType w:val="singleLevel"/>
    <w:tmpl w:val="9BF86D39"/>
    <w:lvl w:ilvl="0" w:tentative="0">
      <w:start w:val="1"/>
      <w:numFmt w:val="chineseCounting"/>
      <w:suff w:val="nothing"/>
      <w:lvlText w:val="（%1）"/>
      <w:lvlJc w:val="left"/>
      <w:pPr>
        <w:ind w:left="0" w:firstLine="420"/>
      </w:pPr>
      <w:rPr>
        <w:rFonts w:hint="eastAsia"/>
        <w:color w:val="auto"/>
        <w:sz w:val="32"/>
        <w:szCs w:val="32"/>
      </w:rPr>
    </w:lvl>
  </w:abstractNum>
  <w:abstractNum w:abstractNumId="1">
    <w:nsid w:val="CE8AC2D3"/>
    <w:multiLevelType w:val="singleLevel"/>
    <w:tmpl w:val="CE8AC2D3"/>
    <w:lvl w:ilvl="0" w:tentative="0">
      <w:start w:val="1"/>
      <w:numFmt w:val="chineseCounting"/>
      <w:suff w:val="nothing"/>
      <w:lvlText w:val="（%1）"/>
      <w:lvlJc w:val="left"/>
      <w:rPr>
        <w:rFonts w:hint="eastAsia"/>
      </w:rPr>
    </w:lvl>
  </w:abstractNum>
  <w:abstractNum w:abstractNumId="2">
    <w:nsid w:val="DB743884"/>
    <w:multiLevelType w:val="singleLevel"/>
    <w:tmpl w:val="DB743884"/>
    <w:lvl w:ilvl="0" w:tentative="0">
      <w:start w:val="1"/>
      <w:numFmt w:val="chineseCounting"/>
      <w:suff w:val="nothing"/>
      <w:lvlText w:val="（%1）"/>
      <w:lvlJc w:val="left"/>
      <w:pPr>
        <w:ind w:left="0" w:firstLine="420"/>
      </w:pPr>
      <w:rPr>
        <w:rFonts w:hint="eastAsia"/>
        <w:color w:val="auto"/>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RhOTQ1ODFmZmMxZWY5Y2E3MDVmZGZkMzMxM2VkMTUifQ=="/>
  </w:docVars>
  <w:rsids>
    <w:rsidRoot w:val="637D7558"/>
    <w:rsid w:val="00002C84"/>
    <w:rsid w:val="00022149"/>
    <w:rsid w:val="00047F6C"/>
    <w:rsid w:val="00093C26"/>
    <w:rsid w:val="00094B91"/>
    <w:rsid w:val="000B06D8"/>
    <w:rsid w:val="000E5855"/>
    <w:rsid w:val="001418A5"/>
    <w:rsid w:val="00147D40"/>
    <w:rsid w:val="00156EF2"/>
    <w:rsid w:val="001D7B97"/>
    <w:rsid w:val="00210E20"/>
    <w:rsid w:val="00223F38"/>
    <w:rsid w:val="00233613"/>
    <w:rsid w:val="00254DBE"/>
    <w:rsid w:val="00275CAB"/>
    <w:rsid w:val="0028709C"/>
    <w:rsid w:val="0029328F"/>
    <w:rsid w:val="002B2731"/>
    <w:rsid w:val="00382867"/>
    <w:rsid w:val="003A4973"/>
    <w:rsid w:val="003C1C96"/>
    <w:rsid w:val="003C69F8"/>
    <w:rsid w:val="003E40BA"/>
    <w:rsid w:val="003E7165"/>
    <w:rsid w:val="0041579D"/>
    <w:rsid w:val="00427074"/>
    <w:rsid w:val="00434D04"/>
    <w:rsid w:val="004C4D73"/>
    <w:rsid w:val="004D7D0E"/>
    <w:rsid w:val="005234F5"/>
    <w:rsid w:val="00531745"/>
    <w:rsid w:val="00574196"/>
    <w:rsid w:val="006123AD"/>
    <w:rsid w:val="00645B83"/>
    <w:rsid w:val="0066173C"/>
    <w:rsid w:val="006D677A"/>
    <w:rsid w:val="007640BB"/>
    <w:rsid w:val="00771953"/>
    <w:rsid w:val="00776E0B"/>
    <w:rsid w:val="007A0641"/>
    <w:rsid w:val="007C52E7"/>
    <w:rsid w:val="007C54EA"/>
    <w:rsid w:val="007C776D"/>
    <w:rsid w:val="007D7CE3"/>
    <w:rsid w:val="007E2F6C"/>
    <w:rsid w:val="00817C69"/>
    <w:rsid w:val="00823A94"/>
    <w:rsid w:val="00824151"/>
    <w:rsid w:val="008315A9"/>
    <w:rsid w:val="00834354"/>
    <w:rsid w:val="008F1B95"/>
    <w:rsid w:val="008F4AE2"/>
    <w:rsid w:val="008F6882"/>
    <w:rsid w:val="00934C72"/>
    <w:rsid w:val="00946CCF"/>
    <w:rsid w:val="0097721B"/>
    <w:rsid w:val="009831F8"/>
    <w:rsid w:val="009B3E00"/>
    <w:rsid w:val="009D1667"/>
    <w:rsid w:val="00A07CCE"/>
    <w:rsid w:val="00A27624"/>
    <w:rsid w:val="00A358E6"/>
    <w:rsid w:val="00AA78EE"/>
    <w:rsid w:val="00AB53E1"/>
    <w:rsid w:val="00AE5F66"/>
    <w:rsid w:val="00B07A0B"/>
    <w:rsid w:val="00B22F28"/>
    <w:rsid w:val="00B37453"/>
    <w:rsid w:val="00B45479"/>
    <w:rsid w:val="00B60171"/>
    <w:rsid w:val="00B837AC"/>
    <w:rsid w:val="00BB4FB8"/>
    <w:rsid w:val="00BD315D"/>
    <w:rsid w:val="00C3279E"/>
    <w:rsid w:val="00C34857"/>
    <w:rsid w:val="00CA2E26"/>
    <w:rsid w:val="00D00918"/>
    <w:rsid w:val="00D14326"/>
    <w:rsid w:val="00D772CC"/>
    <w:rsid w:val="00D84F30"/>
    <w:rsid w:val="00D878A6"/>
    <w:rsid w:val="00DE74BD"/>
    <w:rsid w:val="00DE7D07"/>
    <w:rsid w:val="00EB7822"/>
    <w:rsid w:val="00EC50A9"/>
    <w:rsid w:val="00ED04DB"/>
    <w:rsid w:val="00F21455"/>
    <w:rsid w:val="00F5354B"/>
    <w:rsid w:val="00F95135"/>
    <w:rsid w:val="00F9658C"/>
    <w:rsid w:val="00F978FD"/>
    <w:rsid w:val="00FA738E"/>
    <w:rsid w:val="00FC438B"/>
    <w:rsid w:val="01234E98"/>
    <w:rsid w:val="012973AA"/>
    <w:rsid w:val="015F1951"/>
    <w:rsid w:val="020C171D"/>
    <w:rsid w:val="0216715F"/>
    <w:rsid w:val="02E0291A"/>
    <w:rsid w:val="04E54546"/>
    <w:rsid w:val="06220CC9"/>
    <w:rsid w:val="07B0770E"/>
    <w:rsid w:val="082E4D3F"/>
    <w:rsid w:val="08E621B0"/>
    <w:rsid w:val="095839A9"/>
    <w:rsid w:val="0AE760F0"/>
    <w:rsid w:val="0D100297"/>
    <w:rsid w:val="0D202B45"/>
    <w:rsid w:val="0DD6280D"/>
    <w:rsid w:val="0E193701"/>
    <w:rsid w:val="0F8D4C87"/>
    <w:rsid w:val="10505FAA"/>
    <w:rsid w:val="11E56B5B"/>
    <w:rsid w:val="125C77AB"/>
    <w:rsid w:val="14CB726E"/>
    <w:rsid w:val="17E92249"/>
    <w:rsid w:val="18D304F1"/>
    <w:rsid w:val="19F32577"/>
    <w:rsid w:val="19F45B80"/>
    <w:rsid w:val="1AEB52E9"/>
    <w:rsid w:val="1B4C295A"/>
    <w:rsid w:val="1B973C63"/>
    <w:rsid w:val="1BA1001E"/>
    <w:rsid w:val="1E07435C"/>
    <w:rsid w:val="1E664F5B"/>
    <w:rsid w:val="1EB34BE1"/>
    <w:rsid w:val="213D12FA"/>
    <w:rsid w:val="215E639F"/>
    <w:rsid w:val="21EC3183"/>
    <w:rsid w:val="225E72CD"/>
    <w:rsid w:val="246E2F77"/>
    <w:rsid w:val="254B4E2B"/>
    <w:rsid w:val="283D7C94"/>
    <w:rsid w:val="29480E03"/>
    <w:rsid w:val="2983634D"/>
    <w:rsid w:val="2AAB2F04"/>
    <w:rsid w:val="2AFE16D2"/>
    <w:rsid w:val="2BB02055"/>
    <w:rsid w:val="2C575A56"/>
    <w:rsid w:val="2CA2028B"/>
    <w:rsid w:val="2D562498"/>
    <w:rsid w:val="2F257714"/>
    <w:rsid w:val="2F3275E5"/>
    <w:rsid w:val="306C200D"/>
    <w:rsid w:val="30AA08EF"/>
    <w:rsid w:val="30D23D1C"/>
    <w:rsid w:val="31221CF5"/>
    <w:rsid w:val="31400178"/>
    <w:rsid w:val="317604A6"/>
    <w:rsid w:val="327759C8"/>
    <w:rsid w:val="328112FF"/>
    <w:rsid w:val="33185FE3"/>
    <w:rsid w:val="34EE2E36"/>
    <w:rsid w:val="36445960"/>
    <w:rsid w:val="36777241"/>
    <w:rsid w:val="38A951DB"/>
    <w:rsid w:val="39003F4F"/>
    <w:rsid w:val="3A630E43"/>
    <w:rsid w:val="3BB949A3"/>
    <w:rsid w:val="3D0D152A"/>
    <w:rsid w:val="3DF62756"/>
    <w:rsid w:val="3F1B7587"/>
    <w:rsid w:val="3FBF5017"/>
    <w:rsid w:val="3FC34FC9"/>
    <w:rsid w:val="41E57B4F"/>
    <w:rsid w:val="432F26F6"/>
    <w:rsid w:val="43880F63"/>
    <w:rsid w:val="43D618E5"/>
    <w:rsid w:val="441C5A6F"/>
    <w:rsid w:val="44C44FCC"/>
    <w:rsid w:val="44CC7369"/>
    <w:rsid w:val="457F5108"/>
    <w:rsid w:val="46951B6B"/>
    <w:rsid w:val="47230D5E"/>
    <w:rsid w:val="475116BC"/>
    <w:rsid w:val="48E5124A"/>
    <w:rsid w:val="4A3E30AB"/>
    <w:rsid w:val="4AC14DAC"/>
    <w:rsid w:val="4D154C85"/>
    <w:rsid w:val="508F4E24"/>
    <w:rsid w:val="51461E90"/>
    <w:rsid w:val="51463753"/>
    <w:rsid w:val="534E5803"/>
    <w:rsid w:val="53521F8B"/>
    <w:rsid w:val="53E22F47"/>
    <w:rsid w:val="55450629"/>
    <w:rsid w:val="556C37F0"/>
    <w:rsid w:val="56692963"/>
    <w:rsid w:val="568B0F48"/>
    <w:rsid w:val="5786217B"/>
    <w:rsid w:val="59337A15"/>
    <w:rsid w:val="59810274"/>
    <w:rsid w:val="5CA96A00"/>
    <w:rsid w:val="5CF730BC"/>
    <w:rsid w:val="5E166BEC"/>
    <w:rsid w:val="5E5F0DCE"/>
    <w:rsid w:val="5ED47769"/>
    <w:rsid w:val="5F4F11E4"/>
    <w:rsid w:val="5FA40A7B"/>
    <w:rsid w:val="5FD56D29"/>
    <w:rsid w:val="5FEC7F3F"/>
    <w:rsid w:val="60F74BC3"/>
    <w:rsid w:val="617D3BF8"/>
    <w:rsid w:val="61841F6A"/>
    <w:rsid w:val="623007A9"/>
    <w:rsid w:val="629C76E4"/>
    <w:rsid w:val="63171019"/>
    <w:rsid w:val="637D7558"/>
    <w:rsid w:val="644F19AC"/>
    <w:rsid w:val="65AA4920"/>
    <w:rsid w:val="665E5C85"/>
    <w:rsid w:val="67694F1E"/>
    <w:rsid w:val="692E10C0"/>
    <w:rsid w:val="69597934"/>
    <w:rsid w:val="6B964DDC"/>
    <w:rsid w:val="6C783074"/>
    <w:rsid w:val="6D9E65C6"/>
    <w:rsid w:val="6DA81947"/>
    <w:rsid w:val="6EB66DE2"/>
    <w:rsid w:val="6ED3075F"/>
    <w:rsid w:val="6F2A2D4B"/>
    <w:rsid w:val="6F8A0C1E"/>
    <w:rsid w:val="703F45D4"/>
    <w:rsid w:val="715D6546"/>
    <w:rsid w:val="71BE069E"/>
    <w:rsid w:val="73953409"/>
    <w:rsid w:val="73E069A3"/>
    <w:rsid w:val="75480EEA"/>
    <w:rsid w:val="76924CB9"/>
    <w:rsid w:val="76C23336"/>
    <w:rsid w:val="77C15B94"/>
    <w:rsid w:val="78104AA8"/>
    <w:rsid w:val="78E257C5"/>
    <w:rsid w:val="794B35BE"/>
    <w:rsid w:val="79A7756B"/>
    <w:rsid w:val="7B0A3A31"/>
    <w:rsid w:val="7B3360ED"/>
    <w:rsid w:val="7B9D2978"/>
    <w:rsid w:val="7BDF037E"/>
    <w:rsid w:val="7BF50948"/>
    <w:rsid w:val="7CE66A78"/>
    <w:rsid w:val="7D23564C"/>
    <w:rsid w:val="7D5E062D"/>
    <w:rsid w:val="7DF76CD8"/>
    <w:rsid w:val="7F7639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7">
    <w:name w:val="Default Paragraph Font"/>
    <w:semiHidden/>
    <w:unhideWhenUsed/>
    <w:qFormat/>
    <w:uiPriority w:val="1"/>
  </w:style>
  <w:style w:type="table" w:default="1" w:styleId="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Emphasis"/>
    <w:basedOn w:val="7"/>
    <w:qFormat/>
    <w:uiPriority w:val="0"/>
    <w:rPr>
      <w:i/>
    </w:rPr>
  </w:style>
  <w:style w:type="character" w:customStyle="1" w:styleId="9">
    <w:name w:val="页眉 Char"/>
    <w:basedOn w:val="7"/>
    <w:link w:val="4"/>
    <w:qFormat/>
    <w:uiPriority w:val="0"/>
    <w:rPr>
      <w:rFonts w:asciiTheme="minorHAnsi" w:hAnsiTheme="minorHAnsi" w:eastAsiaTheme="minorEastAsia" w:cstheme="minorBidi"/>
      <w:kern w:val="2"/>
      <w:sz w:val="18"/>
      <w:szCs w:val="18"/>
    </w:rPr>
  </w:style>
  <w:style w:type="character" w:customStyle="1" w:styleId="10">
    <w:name w:val="页脚 Char"/>
    <w:basedOn w:val="7"/>
    <w:link w:val="3"/>
    <w:qFormat/>
    <w:uiPriority w:val="0"/>
    <w:rPr>
      <w:rFonts w:asciiTheme="minorHAnsi" w:hAnsiTheme="minorHAnsi" w:eastAsiaTheme="minorEastAsia" w:cstheme="minorBidi"/>
      <w:kern w:val="2"/>
      <w:sz w:val="18"/>
      <w:szCs w:val="18"/>
    </w:rPr>
  </w:style>
  <w:style w:type="paragraph" w:styleId="1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chart" Target="charts/chart10.xml"/><Relationship Id="rId14" Type="http://schemas.openxmlformats.org/officeDocument/2006/relationships/chart" Target="charts/chart9.xml"/><Relationship Id="rId13" Type="http://schemas.openxmlformats.org/officeDocument/2006/relationships/chart" Target="charts/chart8.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9.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8.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10.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8.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9.xml.rels><?xml version="1.0" encoding="UTF-8" standalone="yes"?>
<Relationships xmlns="http://schemas.openxmlformats.org/package/2006/relationships"><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决算收入支出图表</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countries</c:v>
                </c:pt>
              </c:strCache>
            </c:strRef>
          </c:tx>
          <c:spPr/>
          <c:explosion val="0"/>
          <c:dPt>
            <c:idx val="0"/>
            <c:bubble3D val="0"/>
            <c:spPr>
              <a:solidFill>
                <a:schemeClr val="accent1"/>
              </a:solidFill>
              <a:ln w="19050">
                <a:solidFill>
                  <a:schemeClr val="lt1"/>
                </a:solidFill>
              </a:ln>
              <a:effectLst/>
            </c:spPr>
          </c:dPt>
          <c:dLbls>
            <c:delete val="1"/>
          </c:dLbls>
          <c:cat>
            <c:strRef>
              <c:f>Sheet1!$A$2</c:f>
              <c:strCache>
                <c:ptCount val="1"/>
                <c:pt idx="0">
                  <c:v>一般公共预算财政拨款收入</c:v>
                </c:pt>
              </c:strCache>
            </c:strRef>
          </c:cat>
          <c:val>
            <c:numRef>
              <c:f>Sheet1!$B$2</c:f>
              <c:numCache>
                <c:formatCode>General</c:formatCode>
                <c:ptCount val="1"/>
                <c:pt idx="0">
                  <c:v>7652.5</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en-US"/>
              <a:t>对个人和家庭的补助</a:t>
            </a:r>
            <a:endParaRPr lang="en-US" sz="1100"/>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科目代码</c:v>
                </c:pt>
              </c:strCache>
            </c:strRef>
          </c:tx>
          <c:spPr>
            <a:solidFill>
              <a:schemeClr val="accent1"/>
            </a:solidFill>
            <a:ln>
              <a:noFill/>
            </a:ln>
            <a:effectLst/>
          </c:spPr>
          <c:invertIfNegative val="0"/>
          <c:dLbls>
            <c:delete val="1"/>
          </c:dLbls>
          <c:cat>
            <c:numRef>
              <c:f>Sheet1!$A$2:$A$4</c:f>
              <c:numCache>
                <c:formatCode>General</c:formatCode>
                <c:ptCount val="3"/>
                <c:pt idx="0">
                  <c:v>30301</c:v>
                </c:pt>
                <c:pt idx="1">
                  <c:v>30305</c:v>
                </c:pt>
                <c:pt idx="2">
                  <c:v>30399</c:v>
                </c:pt>
              </c:numCache>
            </c:numRef>
          </c:cat>
          <c:val>
            <c:numRef>
              <c:f>Sheet1!$B$2:$B$4</c:f>
              <c:numCache>
                <c:formatCode>General</c:formatCode>
                <c:ptCount val="3"/>
                <c:pt idx="0">
                  <c:v>9.78</c:v>
                </c:pt>
                <c:pt idx="1">
                  <c:v>5.67</c:v>
                </c:pt>
                <c:pt idx="2">
                  <c:v>0.58</c:v>
                </c:pt>
              </c:numCache>
            </c:numRef>
          </c:val>
        </c:ser>
        <c:dLbls>
          <c:showLegendKey val="0"/>
          <c:showVal val="0"/>
          <c:showCatName val="0"/>
          <c:showSerName val="0"/>
          <c:showPercent val="0"/>
          <c:showBubbleSize val="0"/>
        </c:dLbls>
        <c:gapWidth val="219"/>
        <c:overlap val="-27"/>
        <c:axId val="-172441920"/>
        <c:axId val="-172441376"/>
      </c:barChart>
      <c:catAx>
        <c:axId val="-17244192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0" spcFirstLastPara="1" vertOverflow="ellipsis" vert="eaVert"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441376"/>
        <c:crosses val="autoZero"/>
        <c:auto val="1"/>
        <c:lblAlgn val="ctr"/>
        <c:lblOffset val="100"/>
        <c:noMultiLvlLbl val="0"/>
      </c:catAx>
      <c:valAx>
        <c:axId val="-17244137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44192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支出决算图表</a:t>
            </a:r>
            <a:endParaRPr lang="zh-CN" altLang="en-US"/>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2021年</c:v>
                </c:pt>
              </c:strCache>
            </c:strRef>
          </c:tx>
          <c:spPr>
            <a:solidFill>
              <a:schemeClr val="accent1"/>
            </a:solidFill>
            <a:ln>
              <a:noFill/>
            </a:ln>
            <a:effectLst/>
          </c:spPr>
          <c:invertIfNegative val="0"/>
          <c:dLbls>
            <c:delete val="1"/>
          </c:dLbls>
          <c:cat>
            <c:strRef>
              <c:f>Sheet1!$A$2:$A$6</c:f>
              <c:strCache>
                <c:ptCount val="5"/>
                <c:pt idx="0">
                  <c:v>一般公共服务支出</c:v>
                </c:pt>
                <c:pt idx="1">
                  <c:v>社会保障和就业支出</c:v>
                </c:pt>
                <c:pt idx="2">
                  <c:v>卫生健康支出</c:v>
                </c:pt>
                <c:pt idx="3">
                  <c:v>节能环保支出</c:v>
                </c:pt>
                <c:pt idx="4">
                  <c:v>住房保障支出</c:v>
                </c:pt>
              </c:strCache>
            </c:strRef>
          </c:cat>
          <c:val>
            <c:numRef>
              <c:f>Sheet1!$B$2:$B$6</c:f>
              <c:numCache>
                <c:formatCode>General</c:formatCode>
                <c:ptCount val="5"/>
                <c:pt idx="0">
                  <c:v>0</c:v>
                </c:pt>
                <c:pt idx="1">
                  <c:v>131.74</c:v>
                </c:pt>
                <c:pt idx="2">
                  <c:v>82.19</c:v>
                </c:pt>
                <c:pt idx="3">
                  <c:v>1834.92</c:v>
                </c:pt>
                <c:pt idx="4">
                  <c:v>88.7</c:v>
                </c:pt>
              </c:numCache>
            </c:numRef>
          </c:val>
        </c:ser>
        <c:ser>
          <c:idx val="1"/>
          <c:order val="1"/>
          <c:tx>
            <c:strRef>
              <c:f>Sheet1!$C$1</c:f>
              <c:strCache>
                <c:ptCount val="1"/>
                <c:pt idx="0">
                  <c:v>2022年</c:v>
                </c:pt>
              </c:strCache>
            </c:strRef>
          </c:tx>
          <c:spPr>
            <a:solidFill>
              <a:schemeClr val="accent2"/>
            </a:solidFill>
            <a:ln>
              <a:noFill/>
            </a:ln>
            <a:effectLst/>
          </c:spPr>
          <c:invertIfNegative val="0"/>
          <c:dLbls>
            <c:delete val="1"/>
          </c:dLbls>
          <c:cat>
            <c:strRef>
              <c:f>Sheet1!$A$2:$A$6</c:f>
              <c:strCache>
                <c:ptCount val="5"/>
                <c:pt idx="0">
                  <c:v>一般公共服务支出</c:v>
                </c:pt>
                <c:pt idx="1">
                  <c:v>社会保障和就业支出</c:v>
                </c:pt>
                <c:pt idx="2">
                  <c:v>卫生健康支出</c:v>
                </c:pt>
                <c:pt idx="3">
                  <c:v>节能环保支出</c:v>
                </c:pt>
                <c:pt idx="4">
                  <c:v>住房保障支出</c:v>
                </c:pt>
              </c:strCache>
            </c:strRef>
          </c:cat>
          <c:val>
            <c:numRef>
              <c:f>Sheet1!$C$2:$C$6</c:f>
              <c:numCache>
                <c:formatCode>General</c:formatCode>
                <c:ptCount val="5"/>
                <c:pt idx="0">
                  <c:v>11.21</c:v>
                </c:pt>
                <c:pt idx="1">
                  <c:v>127.57</c:v>
                </c:pt>
                <c:pt idx="2">
                  <c:v>85.17</c:v>
                </c:pt>
                <c:pt idx="3">
                  <c:v>7459.25</c:v>
                </c:pt>
                <c:pt idx="4">
                  <c:v>95.3</c:v>
                </c:pt>
              </c:numCache>
            </c:numRef>
          </c:val>
        </c:ser>
        <c:dLbls>
          <c:showLegendKey val="0"/>
          <c:showVal val="0"/>
          <c:showCatName val="0"/>
          <c:showSerName val="0"/>
          <c:showPercent val="0"/>
          <c:showBubbleSize val="0"/>
        </c:dLbls>
        <c:gapWidth val="219"/>
        <c:overlap val="-27"/>
        <c:axId val="-172443552"/>
        <c:axId val="-172442464"/>
      </c:barChart>
      <c:catAx>
        <c:axId val="-17244355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442464"/>
        <c:crosses val="autoZero"/>
        <c:auto val="1"/>
        <c:lblAlgn val="ctr"/>
        <c:lblOffset val="100"/>
        <c:noMultiLvlLbl val="0"/>
      </c:catAx>
      <c:valAx>
        <c:axId val="-1724424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443552"/>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en-US"/>
              <a:t>一般公共服务支出</a:t>
            </a:r>
            <a:endParaRPr lang="en-US" sz="1100"/>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科目代码</c:v>
                </c:pt>
              </c:strCache>
            </c:strRef>
          </c:tx>
          <c:spPr>
            <a:solidFill>
              <a:schemeClr val="accent1"/>
            </a:solidFill>
            <a:ln>
              <a:noFill/>
            </a:ln>
            <a:effectLst/>
          </c:spPr>
          <c:invertIfNegative val="0"/>
          <c:dLbls>
            <c:delete val="1"/>
          </c:dLbls>
          <c:cat>
            <c:strRef>
              <c:f>Sheet1!$A$2:$A$4</c:f>
              <c:strCache>
                <c:ptCount val="3"/>
                <c:pt idx="0">
                  <c:v>2011301</c:v>
                </c:pt>
                <c:pt idx="1">
                  <c:v>2019999</c:v>
                </c:pt>
                <c:pt idx="2">
                  <c:v>201x</c:v>
                </c:pt>
              </c:strCache>
            </c:strRef>
          </c:cat>
          <c:val>
            <c:numRef>
              <c:f>Sheet1!$B$2:$B$4</c:f>
              <c:numCache>
                <c:formatCode>General</c:formatCode>
                <c:ptCount val="3"/>
                <c:pt idx="0">
                  <c:v>1.34</c:v>
                </c:pt>
                <c:pt idx="1">
                  <c:v>9.87</c:v>
                </c:pt>
                <c:pt idx="2">
                  <c:v>11.21</c:v>
                </c:pt>
              </c:numCache>
            </c:numRef>
          </c:val>
        </c:ser>
        <c:dLbls>
          <c:showLegendKey val="0"/>
          <c:showVal val="0"/>
          <c:showCatName val="0"/>
          <c:showSerName val="0"/>
          <c:showPercent val="0"/>
          <c:showBubbleSize val="0"/>
        </c:dLbls>
        <c:gapWidth val="219"/>
        <c:overlap val="-27"/>
        <c:axId val="-172443008"/>
        <c:axId val="-172445728"/>
      </c:barChart>
      <c:catAx>
        <c:axId val="-17244300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445728"/>
        <c:crosses val="autoZero"/>
        <c:auto val="1"/>
        <c:lblAlgn val="ctr"/>
        <c:lblOffset val="100"/>
        <c:noMultiLvlLbl val="0"/>
      </c:catAx>
      <c:valAx>
        <c:axId val="-17244572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44300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en-US"/>
              <a:t>社会保障和就业支出</a:t>
            </a:r>
            <a:endParaRPr lang="en-US" sz="1100"/>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科目代码</c:v>
                </c:pt>
              </c:strCache>
            </c:strRef>
          </c:tx>
          <c:spPr>
            <a:solidFill>
              <a:schemeClr val="accent1"/>
            </a:solidFill>
            <a:ln>
              <a:noFill/>
            </a:ln>
            <a:effectLst/>
          </c:spPr>
          <c:invertIfNegative val="0"/>
          <c:dLbls>
            <c:delete val="1"/>
          </c:dLbls>
          <c:cat>
            <c:strRef>
              <c:f>Sheet1!$A$2:$A$4</c:f>
              <c:strCache>
                <c:ptCount val="3"/>
                <c:pt idx="0">
                  <c:v>2080505</c:v>
                </c:pt>
                <c:pt idx="1">
                  <c:v>2089999</c:v>
                </c:pt>
                <c:pt idx="2">
                  <c:v>208x</c:v>
                </c:pt>
              </c:strCache>
            </c:strRef>
          </c:cat>
          <c:val>
            <c:numRef>
              <c:f>Sheet1!$B$2:$B$4</c:f>
              <c:numCache>
                <c:formatCode>General</c:formatCode>
                <c:ptCount val="3"/>
                <c:pt idx="0">
                  <c:v>127.07</c:v>
                </c:pt>
                <c:pt idx="1">
                  <c:v>0.5</c:v>
                </c:pt>
                <c:pt idx="2">
                  <c:v>127.57</c:v>
                </c:pt>
              </c:numCache>
            </c:numRef>
          </c:val>
        </c:ser>
        <c:dLbls>
          <c:showLegendKey val="0"/>
          <c:showVal val="0"/>
          <c:showCatName val="0"/>
          <c:showSerName val="0"/>
          <c:showPercent val="0"/>
          <c:showBubbleSize val="0"/>
        </c:dLbls>
        <c:gapWidth val="219"/>
        <c:overlap val="-27"/>
        <c:axId val="-172443008"/>
        <c:axId val="-172445728"/>
      </c:barChart>
      <c:catAx>
        <c:axId val="-17244300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445728"/>
        <c:crosses val="autoZero"/>
        <c:auto val="1"/>
        <c:lblAlgn val="ctr"/>
        <c:lblOffset val="100"/>
        <c:noMultiLvlLbl val="0"/>
      </c:catAx>
      <c:valAx>
        <c:axId val="-17244572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44300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en-US"/>
              <a:t>卫生健康支出</a:t>
            </a:r>
            <a:endParaRPr lang="en-US" sz="1100"/>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科目代码</c:v>
                </c:pt>
              </c:strCache>
            </c:strRef>
          </c:tx>
          <c:spPr>
            <a:solidFill>
              <a:schemeClr val="accent1"/>
            </a:solidFill>
            <a:ln>
              <a:noFill/>
            </a:ln>
            <a:effectLst/>
          </c:spPr>
          <c:invertIfNegative val="0"/>
          <c:dLbls>
            <c:delete val="1"/>
          </c:dLbls>
          <c:cat>
            <c:strRef>
              <c:f>Sheet1!$A$2:$A$4</c:f>
              <c:strCache>
                <c:ptCount val="3"/>
                <c:pt idx="0">
                  <c:v>2101101</c:v>
                </c:pt>
                <c:pt idx="1">
                  <c:v>2101103</c:v>
                </c:pt>
                <c:pt idx="2">
                  <c:v>210x</c:v>
                </c:pt>
              </c:strCache>
            </c:strRef>
          </c:cat>
          <c:val>
            <c:numRef>
              <c:f>Sheet1!$B$2:$B$4</c:f>
              <c:numCache>
                <c:formatCode>General</c:formatCode>
                <c:ptCount val="3"/>
                <c:pt idx="0">
                  <c:v>53.4</c:v>
                </c:pt>
                <c:pt idx="1">
                  <c:v>31.77</c:v>
                </c:pt>
                <c:pt idx="2">
                  <c:v>85.17</c:v>
                </c:pt>
              </c:numCache>
            </c:numRef>
          </c:val>
        </c:ser>
        <c:dLbls>
          <c:showLegendKey val="0"/>
          <c:showVal val="0"/>
          <c:showCatName val="0"/>
          <c:showSerName val="0"/>
          <c:showPercent val="0"/>
          <c:showBubbleSize val="0"/>
        </c:dLbls>
        <c:gapWidth val="219"/>
        <c:overlap val="-27"/>
        <c:axId val="-172443008"/>
        <c:axId val="-172445728"/>
      </c:barChart>
      <c:catAx>
        <c:axId val="-17244300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445728"/>
        <c:crosses val="autoZero"/>
        <c:auto val="1"/>
        <c:lblAlgn val="ctr"/>
        <c:lblOffset val="100"/>
        <c:noMultiLvlLbl val="0"/>
      </c:catAx>
      <c:valAx>
        <c:axId val="-17244572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44300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en-US"/>
              <a:t>节能环保支出</a:t>
            </a:r>
            <a:endParaRPr lang="en-US" sz="1100"/>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科目代码</c:v>
                </c:pt>
              </c:strCache>
            </c:strRef>
          </c:tx>
          <c:spPr>
            <a:solidFill>
              <a:schemeClr val="accent1"/>
            </a:solidFill>
            <a:ln>
              <a:noFill/>
            </a:ln>
            <a:effectLst/>
          </c:spPr>
          <c:invertIfNegative val="0"/>
          <c:dLbls>
            <c:delete val="1"/>
          </c:dLbls>
          <c:cat>
            <c:strRef>
              <c:f>Sheet1!$A$2:$A$16</c:f>
              <c:strCache>
                <c:ptCount val="15"/>
                <c:pt idx="0">
                  <c:v>2110101</c:v>
                </c:pt>
                <c:pt idx="1">
                  <c:v>2110102</c:v>
                </c:pt>
                <c:pt idx="2">
                  <c:v>2110104</c:v>
                </c:pt>
                <c:pt idx="3">
                  <c:v>2110199</c:v>
                </c:pt>
                <c:pt idx="4">
                  <c:v>2110204</c:v>
                </c:pt>
                <c:pt idx="5">
                  <c:v>2110299</c:v>
                </c:pt>
                <c:pt idx="6">
                  <c:v>2110301</c:v>
                </c:pt>
                <c:pt idx="7">
                  <c:v>2110302</c:v>
                </c:pt>
                <c:pt idx="8">
                  <c:v>2110307</c:v>
                </c:pt>
                <c:pt idx="9">
                  <c:v>2110399</c:v>
                </c:pt>
                <c:pt idx="10">
                  <c:v>2111101</c:v>
                </c:pt>
                <c:pt idx="11">
                  <c:v>2111102</c:v>
                </c:pt>
                <c:pt idx="12">
                  <c:v>2111199</c:v>
                </c:pt>
                <c:pt idx="13">
                  <c:v>2119999</c:v>
                </c:pt>
                <c:pt idx="14">
                  <c:v>211x</c:v>
                </c:pt>
              </c:strCache>
            </c:strRef>
          </c:cat>
          <c:val>
            <c:numRef>
              <c:f>Sheet1!$B$2:$B$16</c:f>
              <c:numCache>
                <c:formatCode>General</c:formatCode>
                <c:ptCount val="15"/>
                <c:pt idx="0">
                  <c:v>985.78</c:v>
                </c:pt>
                <c:pt idx="1">
                  <c:v>29.85</c:v>
                </c:pt>
                <c:pt idx="2">
                  <c:v>5</c:v>
                </c:pt>
                <c:pt idx="3">
                  <c:v>30</c:v>
                </c:pt>
                <c:pt idx="4">
                  <c:v>0.46</c:v>
                </c:pt>
                <c:pt idx="5">
                  <c:v>445.47</c:v>
                </c:pt>
                <c:pt idx="6">
                  <c:v>224.7</c:v>
                </c:pt>
                <c:pt idx="7">
                  <c:v>1069.71</c:v>
                </c:pt>
                <c:pt idx="8">
                  <c:v>903.45</c:v>
                </c:pt>
                <c:pt idx="9">
                  <c:v>125.73</c:v>
                </c:pt>
                <c:pt idx="10">
                  <c:v>4.93</c:v>
                </c:pt>
                <c:pt idx="11">
                  <c:v>11.34</c:v>
                </c:pt>
                <c:pt idx="12">
                  <c:v>3618.96</c:v>
                </c:pt>
                <c:pt idx="13">
                  <c:v>3.85</c:v>
                </c:pt>
                <c:pt idx="14">
                  <c:v>7459.25</c:v>
                </c:pt>
              </c:numCache>
            </c:numRef>
          </c:val>
        </c:ser>
        <c:dLbls>
          <c:showLegendKey val="0"/>
          <c:showVal val="0"/>
          <c:showCatName val="0"/>
          <c:showSerName val="0"/>
          <c:showPercent val="0"/>
          <c:showBubbleSize val="0"/>
        </c:dLbls>
        <c:gapWidth val="219"/>
        <c:overlap val="-27"/>
        <c:axId val="-172443008"/>
        <c:axId val="-172445728"/>
      </c:barChart>
      <c:catAx>
        <c:axId val="-17244300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445728"/>
        <c:crosses val="autoZero"/>
        <c:auto val="1"/>
        <c:lblAlgn val="ctr"/>
        <c:lblOffset val="100"/>
        <c:noMultiLvlLbl val="0"/>
      </c:catAx>
      <c:valAx>
        <c:axId val="-17244572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44300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en-US"/>
              <a:t>住房保障支出</a:t>
            </a:r>
            <a:endParaRPr lang="en-US" sz="1100"/>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科目代码</c:v>
                </c:pt>
              </c:strCache>
            </c:strRef>
          </c:tx>
          <c:spPr>
            <a:solidFill>
              <a:schemeClr val="accent1"/>
            </a:solidFill>
            <a:ln>
              <a:noFill/>
            </a:ln>
            <a:effectLst/>
          </c:spPr>
          <c:invertIfNegative val="0"/>
          <c:dLbls>
            <c:delete val="1"/>
          </c:dLbls>
          <c:cat>
            <c:strRef>
              <c:f>Sheet1!$A$2:$A$3</c:f>
              <c:strCache>
                <c:ptCount val="2"/>
                <c:pt idx="0">
                  <c:v>2210201</c:v>
                </c:pt>
                <c:pt idx="1">
                  <c:v>221x</c:v>
                </c:pt>
              </c:strCache>
            </c:strRef>
          </c:cat>
          <c:val>
            <c:numRef>
              <c:f>Sheet1!$B$2:$B$3</c:f>
              <c:numCache>
                <c:formatCode>General</c:formatCode>
                <c:ptCount val="2"/>
                <c:pt idx="0">
                  <c:v>95.3</c:v>
                </c:pt>
                <c:pt idx="1">
                  <c:v>95.3</c:v>
                </c:pt>
              </c:numCache>
            </c:numRef>
          </c:val>
        </c:ser>
        <c:dLbls>
          <c:showLegendKey val="0"/>
          <c:showVal val="0"/>
          <c:showCatName val="0"/>
          <c:showSerName val="0"/>
          <c:showPercent val="0"/>
          <c:showBubbleSize val="0"/>
        </c:dLbls>
        <c:gapWidth val="219"/>
        <c:overlap val="-27"/>
        <c:axId val="-172443008"/>
        <c:axId val="-172445728"/>
      </c:barChart>
      <c:catAx>
        <c:axId val="-17244300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445728"/>
        <c:crosses val="autoZero"/>
        <c:auto val="1"/>
        <c:lblAlgn val="ctr"/>
        <c:lblOffset val="100"/>
        <c:noMultiLvlLbl val="0"/>
      </c:catAx>
      <c:valAx>
        <c:axId val="-17244572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44300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en-US"/>
              <a:t>工资福利支出</a:t>
            </a:r>
            <a:endParaRPr lang="en-US" sz="1100"/>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科目代码</c:v>
                </c:pt>
              </c:strCache>
            </c:strRef>
          </c:tx>
          <c:spPr>
            <a:solidFill>
              <a:schemeClr val="accent1"/>
            </a:solidFill>
            <a:ln>
              <a:noFill/>
            </a:ln>
            <a:effectLst/>
          </c:spPr>
          <c:invertIfNegative val="0"/>
          <c:dLbls>
            <c:delete val="1"/>
          </c:dLbls>
          <c:cat>
            <c:numRef>
              <c:f>Sheet1!$A$2:$A$12</c:f>
              <c:numCache>
                <c:formatCode>General</c:formatCode>
                <c:ptCount val="11"/>
                <c:pt idx="0">
                  <c:v>30101</c:v>
                </c:pt>
                <c:pt idx="1">
                  <c:v>30102</c:v>
                </c:pt>
                <c:pt idx="2">
                  <c:v>30103</c:v>
                </c:pt>
                <c:pt idx="3">
                  <c:v>30106</c:v>
                </c:pt>
                <c:pt idx="4">
                  <c:v>30107</c:v>
                </c:pt>
                <c:pt idx="5">
                  <c:v>30108</c:v>
                </c:pt>
                <c:pt idx="6">
                  <c:v>30110</c:v>
                </c:pt>
                <c:pt idx="7">
                  <c:v>30111</c:v>
                </c:pt>
                <c:pt idx="8">
                  <c:v>30112</c:v>
                </c:pt>
                <c:pt idx="9">
                  <c:v>30113</c:v>
                </c:pt>
                <c:pt idx="10">
                  <c:v>30199</c:v>
                </c:pt>
              </c:numCache>
            </c:numRef>
          </c:cat>
          <c:val>
            <c:numRef>
              <c:f>Sheet1!$B$2:$B$12</c:f>
              <c:numCache>
                <c:formatCode>General</c:formatCode>
                <c:ptCount val="11"/>
                <c:pt idx="0">
                  <c:v>289.2</c:v>
                </c:pt>
                <c:pt idx="1">
                  <c:v>260.75</c:v>
                </c:pt>
                <c:pt idx="2">
                  <c:v>254.42</c:v>
                </c:pt>
                <c:pt idx="3">
                  <c:v>31.54</c:v>
                </c:pt>
                <c:pt idx="4">
                  <c:v>13.57</c:v>
                </c:pt>
                <c:pt idx="5">
                  <c:v>127.07</c:v>
                </c:pt>
                <c:pt idx="6">
                  <c:v>50.62</c:v>
                </c:pt>
                <c:pt idx="7">
                  <c:v>39.37</c:v>
                </c:pt>
                <c:pt idx="8">
                  <c:v>3.28</c:v>
                </c:pt>
                <c:pt idx="9">
                  <c:v>95.3</c:v>
                </c:pt>
                <c:pt idx="10">
                  <c:v>0.16</c:v>
                </c:pt>
              </c:numCache>
            </c:numRef>
          </c:val>
        </c:ser>
        <c:dLbls>
          <c:showLegendKey val="0"/>
          <c:showVal val="0"/>
          <c:showCatName val="0"/>
          <c:showSerName val="0"/>
          <c:showPercent val="0"/>
          <c:showBubbleSize val="0"/>
        </c:dLbls>
        <c:gapWidth val="219"/>
        <c:overlap val="-27"/>
        <c:axId val="-172441920"/>
        <c:axId val="-172441376"/>
      </c:barChart>
      <c:catAx>
        <c:axId val="-17244192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0" spcFirstLastPara="1" vertOverflow="ellipsis" vert="eaVert"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441376"/>
        <c:crosses val="autoZero"/>
        <c:auto val="1"/>
        <c:lblAlgn val="ctr"/>
        <c:lblOffset val="100"/>
        <c:noMultiLvlLbl val="0"/>
      </c:catAx>
      <c:valAx>
        <c:axId val="-17244137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44192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en-US"/>
              <a:t>商品和服务支出</a:t>
            </a:r>
            <a:endParaRPr lang="en-US" sz="1100"/>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科目代码</c:v>
                </c:pt>
              </c:strCache>
            </c:strRef>
          </c:tx>
          <c:spPr>
            <a:solidFill>
              <a:schemeClr val="accent1"/>
            </a:solidFill>
            <a:ln>
              <a:noFill/>
            </a:ln>
            <a:effectLst/>
          </c:spPr>
          <c:invertIfNegative val="0"/>
          <c:dLbls>
            <c:delete val="1"/>
          </c:dLbls>
          <c:cat>
            <c:numRef>
              <c:f>Sheet1!$A$2:$A$15</c:f>
              <c:numCache>
                <c:formatCode>General</c:formatCode>
                <c:ptCount val="14"/>
                <c:pt idx="0">
                  <c:v>30201</c:v>
                </c:pt>
                <c:pt idx="1">
                  <c:v>30205</c:v>
                </c:pt>
                <c:pt idx="2">
                  <c:v>30206</c:v>
                </c:pt>
                <c:pt idx="3">
                  <c:v>30207</c:v>
                </c:pt>
                <c:pt idx="4">
                  <c:v>30211</c:v>
                </c:pt>
                <c:pt idx="5">
                  <c:v>30213</c:v>
                </c:pt>
                <c:pt idx="6">
                  <c:v>30214</c:v>
                </c:pt>
                <c:pt idx="7">
                  <c:v>30216</c:v>
                </c:pt>
                <c:pt idx="8">
                  <c:v>30217</c:v>
                </c:pt>
                <c:pt idx="9">
                  <c:v>30226</c:v>
                </c:pt>
                <c:pt idx="10">
                  <c:v>30228</c:v>
                </c:pt>
                <c:pt idx="11">
                  <c:v>30231</c:v>
                </c:pt>
                <c:pt idx="12">
                  <c:v>30239</c:v>
                </c:pt>
                <c:pt idx="13">
                  <c:v>30299</c:v>
                </c:pt>
              </c:numCache>
            </c:numRef>
          </c:cat>
          <c:val>
            <c:numRef>
              <c:f>Sheet1!$B$2:$B$15</c:f>
              <c:numCache>
                <c:formatCode>General</c:formatCode>
                <c:ptCount val="14"/>
                <c:pt idx="0">
                  <c:v>5.58</c:v>
                </c:pt>
                <c:pt idx="1">
                  <c:v>0.15</c:v>
                </c:pt>
                <c:pt idx="2">
                  <c:v>3.35</c:v>
                </c:pt>
                <c:pt idx="3">
                  <c:v>0.18</c:v>
                </c:pt>
                <c:pt idx="4">
                  <c:v>6.62</c:v>
                </c:pt>
                <c:pt idx="5">
                  <c:v>1.24</c:v>
                </c:pt>
                <c:pt idx="6">
                  <c:v>15.57</c:v>
                </c:pt>
                <c:pt idx="7">
                  <c:v>4.37</c:v>
                </c:pt>
                <c:pt idx="8">
                  <c:v>2.42</c:v>
                </c:pt>
                <c:pt idx="9">
                  <c:v>5.48</c:v>
                </c:pt>
                <c:pt idx="10">
                  <c:v>16.97</c:v>
                </c:pt>
                <c:pt idx="11">
                  <c:v>5.15</c:v>
                </c:pt>
                <c:pt idx="12">
                  <c:v>46.73</c:v>
                </c:pt>
                <c:pt idx="13">
                  <c:v>1.27</c:v>
                </c:pt>
              </c:numCache>
            </c:numRef>
          </c:val>
        </c:ser>
        <c:dLbls>
          <c:showLegendKey val="0"/>
          <c:showVal val="0"/>
          <c:showCatName val="0"/>
          <c:showSerName val="0"/>
          <c:showPercent val="0"/>
          <c:showBubbleSize val="0"/>
        </c:dLbls>
        <c:gapWidth val="219"/>
        <c:overlap val="-27"/>
        <c:axId val="-172441920"/>
        <c:axId val="-172441376"/>
      </c:barChart>
      <c:catAx>
        <c:axId val="-17244192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0" spcFirstLastPara="1" vertOverflow="ellipsis" vert="eaVert"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441376"/>
        <c:crosses val="autoZero"/>
        <c:auto val="1"/>
        <c:lblAlgn val="ctr"/>
        <c:lblOffset val="100"/>
        <c:noMultiLvlLbl val="0"/>
      </c:catAx>
      <c:valAx>
        <c:axId val="-17244137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44192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A0CACF-E88F-4774-9588-59B2C8C8876C}">
  <ds:schemaRefs/>
</ds:datastoreItem>
</file>

<file path=docProps/app.xml><?xml version="1.0" encoding="utf-8"?>
<Properties xmlns="http://schemas.openxmlformats.org/officeDocument/2006/extended-properties" xmlns:vt="http://schemas.openxmlformats.org/officeDocument/2006/docPropsVTypes">
  <Template>Normal.dotm</Template>
  <Pages>28</Pages>
  <Words>5986</Words>
  <Characters>12926</Characters>
  <Lines>90</Lines>
  <Paragraphs>25</Paragraphs>
  <TotalTime>28</TotalTime>
  <ScaleCrop>false</ScaleCrop>
  <LinksUpToDate>false</LinksUpToDate>
  <CharactersWithSpaces>13003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2023-08-17T02:06:00Z</dcterms:created>
  <dc:creator>C D D</dc:creator>
  <cp:lastModifiedBy>环保之居</cp:lastModifiedBy>
  <dcterms:modified xsi:type="dcterms:W3CDTF">2023-09-21T07:41:28Z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6541B265BF494050B06F5511F6BEFB18_13</vt:lpwstr>
  </property>
</Properties>
</file>